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0FF" w:rsidRDefault="001470FF" w:rsidP="001470FF">
      <w:pPr>
        <w:spacing w:before="362" w:after="0"/>
        <w:ind w:left="1985"/>
        <w:rPr>
          <w:b/>
          <w:color w:val="000000" w:themeColor="text1"/>
          <w:w w:val="95"/>
          <w:sz w:val="40"/>
        </w:rPr>
      </w:pPr>
      <w:r w:rsidRPr="001470FF">
        <w:rPr>
          <w:b/>
          <w:color w:val="000000" w:themeColor="text1"/>
          <w:w w:val="95"/>
          <w:sz w:val="40"/>
        </w:rPr>
        <w:t>Virksomhedsobligationer</w:t>
      </w:r>
      <w:r>
        <w:rPr>
          <w:b/>
          <w:color w:val="000000" w:themeColor="text1"/>
          <w:w w:val="95"/>
          <w:sz w:val="40"/>
        </w:rPr>
        <w:t xml:space="preserve"> </w:t>
      </w:r>
    </w:p>
    <w:p w:rsidR="001470FF" w:rsidRPr="001470FF" w:rsidRDefault="001470FF" w:rsidP="001470FF">
      <w:pPr>
        <w:ind w:left="1985"/>
        <w:rPr>
          <w:b/>
          <w:color w:val="000000" w:themeColor="text1"/>
          <w:w w:val="95"/>
          <w:sz w:val="40"/>
        </w:rPr>
      </w:pPr>
      <w:r w:rsidRPr="001470FF">
        <w:rPr>
          <w:b/>
          <w:color w:val="000000" w:themeColor="text1"/>
          <w:w w:val="95"/>
          <w:sz w:val="40"/>
        </w:rPr>
        <w:t>- handlet på regulerede markeder</w:t>
      </w:r>
    </w:p>
    <w:p w:rsidR="004B28D5" w:rsidRPr="00971A87" w:rsidRDefault="00AD6607" w:rsidP="00CB5FC1">
      <w:pPr>
        <w:spacing w:line="255" w:lineRule="auto"/>
        <w:ind w:left="1985" w:right="339"/>
        <w:rPr>
          <w:color w:val="808080" w:themeColor="background1" w:themeShade="80"/>
        </w:rPr>
        <w:sectPr w:rsidR="004B28D5" w:rsidRPr="00971A87" w:rsidSect="00971A87">
          <w:pgSz w:w="11906" w:h="16838"/>
          <w:pgMar w:top="1304" w:right="964" w:bottom="1304" w:left="964" w:header="709" w:footer="709" w:gutter="0"/>
          <w:cols w:space="708"/>
          <w:docGrid w:linePitch="360"/>
        </w:sectPr>
      </w:pPr>
      <w:r w:rsidRPr="00AD6607">
        <w:rPr>
          <w:color w:val="808080" w:themeColor="background1" w:themeShade="80"/>
        </w:rPr>
        <w:t>Virksomhedsobligationer udstedes typisk af større selskaber, som har behov for at låne kapital. Virksomhedsobligationer er forbundet med højere risiko end statsobligationer, men har typisk en højere effektiv rente.</w:t>
      </w:r>
      <w:r w:rsidR="00CB5FC1" w:rsidRPr="00CB5FC1">
        <w:rPr>
          <w:color w:val="808080" w:themeColor="background1" w:themeShade="80"/>
        </w:rPr>
        <w:t xml:space="preserve"> </w:t>
      </w:r>
      <w:r>
        <w:rPr>
          <w:color w:val="808080" w:themeColor="background1" w:themeShade="80"/>
        </w:rPr>
        <w:t xml:space="preserve"> </w:t>
      </w:r>
    </w:p>
    <w:p w:rsidR="00AD6607" w:rsidRPr="00AD6607" w:rsidRDefault="00AD6607" w:rsidP="00AD6607">
      <w:pPr>
        <w:pStyle w:val="Overskrift1"/>
        <w:spacing w:before="91"/>
        <w:ind w:left="0"/>
        <w:rPr>
          <w:rFonts w:asciiTheme="minorHAnsi" w:hAnsiTheme="minorHAnsi"/>
          <w:color w:val="000000" w:themeColor="text1"/>
          <w:lang w:val="da-DK"/>
        </w:rPr>
      </w:pPr>
      <w:r w:rsidRPr="00AD6607">
        <w:rPr>
          <w:rFonts w:asciiTheme="minorHAnsi" w:hAnsiTheme="minorHAnsi"/>
          <w:color w:val="000000" w:themeColor="text1"/>
          <w:lang w:val="da-DK"/>
        </w:rPr>
        <w:t xml:space="preserve">Hvad er en virksomhedsobligation? </w:t>
      </w:r>
    </w:p>
    <w:p w:rsidR="00AD6607" w:rsidRPr="00AD6607" w:rsidRDefault="00AD6607" w:rsidP="00AD6607">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Virksomhedsobligationer er obligationer, der typisk udstedes af større selskaber, som har behov for at låne kapital. Virksomhedsobligationer adskiller sig fra statsobligationer ved, at de typisk har en højere effektiv rente på grund af højere risiko.</w:t>
      </w:r>
    </w:p>
    <w:p w:rsidR="00AD6607" w:rsidRPr="00AD6607" w:rsidRDefault="00AD6607" w:rsidP="00AD6607">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 xml:space="preserve">Ligesom ved aktier har den økonomiske udvikling i det udstedende selskab indflydelse på afkastet, men </w:t>
      </w:r>
      <w:r w:rsidR="00057B4B">
        <w:rPr>
          <w:rFonts w:asciiTheme="minorHAnsi" w:hAnsiTheme="minorHAnsi"/>
          <w:color w:val="808080" w:themeColor="background1" w:themeShade="80"/>
          <w:lang w:val="da-DK"/>
        </w:rPr>
        <w:t>v</w:t>
      </w:r>
      <w:r w:rsidRPr="00AD6607">
        <w:rPr>
          <w:rFonts w:asciiTheme="minorHAnsi" w:hAnsiTheme="minorHAnsi"/>
          <w:color w:val="808080" w:themeColor="background1" w:themeShade="80"/>
          <w:lang w:val="da-DK"/>
        </w:rPr>
        <w:t>irksomheds</w:t>
      </w:r>
      <w:r w:rsidR="00057B4B">
        <w:rPr>
          <w:rFonts w:asciiTheme="minorHAnsi" w:hAnsiTheme="minorHAnsi"/>
          <w:color w:val="808080" w:themeColor="background1" w:themeShade="80"/>
          <w:lang w:val="da-DK"/>
        </w:rPr>
        <w:t>-</w:t>
      </w:r>
      <w:r w:rsidRPr="00AD6607">
        <w:rPr>
          <w:rFonts w:asciiTheme="minorHAnsi" w:hAnsiTheme="minorHAnsi"/>
          <w:color w:val="808080" w:themeColor="background1" w:themeShade="80"/>
          <w:lang w:val="da-DK"/>
        </w:rPr>
        <w:t>obligationer adskiller sig også fra aktier. Ved investering i aktier er risikoen bl.a., at virksomheden går konkurs og alle pengene dermed er tabt, samt at investor ikke ved, hvad det løbende afkast vil være. Til gen- gæld er der ingen øvre grænse for kursudviklingen. Med virksomheds</w:t>
      </w:r>
      <w:r w:rsidR="00057B4B">
        <w:rPr>
          <w:rFonts w:asciiTheme="minorHAnsi" w:hAnsiTheme="minorHAnsi"/>
          <w:color w:val="808080" w:themeColor="background1" w:themeShade="80"/>
          <w:lang w:val="da-DK"/>
        </w:rPr>
        <w:t>-</w:t>
      </w:r>
      <w:r w:rsidRPr="00AD6607">
        <w:rPr>
          <w:rFonts w:asciiTheme="minorHAnsi" w:hAnsiTheme="minorHAnsi"/>
          <w:color w:val="808080" w:themeColor="background1" w:themeShade="80"/>
          <w:lang w:val="da-DK"/>
        </w:rPr>
        <w:t>obligationer er investor lidt bedre stillet i kreditorrækkefølgen ved en konkurs – uden dog at være garanteret at få sine penge igen.</w:t>
      </w:r>
    </w:p>
    <w:p w:rsidR="00AD6607" w:rsidRPr="00AD6607" w:rsidRDefault="00AD6607" w:rsidP="00AD6607">
      <w:pPr>
        <w:pStyle w:val="Brdtekst"/>
        <w:spacing w:line="244" w:lineRule="auto"/>
        <w:rPr>
          <w:rFonts w:asciiTheme="minorHAnsi" w:hAnsiTheme="minorHAnsi"/>
          <w:color w:val="808080" w:themeColor="background1" w:themeShade="80"/>
          <w:lang w:val="da-DK"/>
        </w:rPr>
      </w:pPr>
    </w:p>
    <w:p w:rsidR="00AD6607" w:rsidRPr="00AD6607" w:rsidRDefault="00AD6607" w:rsidP="00AD6607">
      <w:pPr>
        <w:pStyle w:val="Overskrift1"/>
        <w:spacing w:before="91"/>
        <w:ind w:left="0"/>
        <w:rPr>
          <w:rFonts w:asciiTheme="minorHAnsi" w:hAnsiTheme="minorHAnsi"/>
          <w:color w:val="000000" w:themeColor="text1"/>
          <w:lang w:val="da-DK"/>
        </w:rPr>
      </w:pPr>
      <w:r w:rsidRPr="00AD6607">
        <w:rPr>
          <w:rFonts w:asciiTheme="minorHAnsi" w:hAnsiTheme="minorHAnsi"/>
          <w:color w:val="000000" w:themeColor="text1"/>
          <w:lang w:val="da-DK"/>
        </w:rPr>
        <w:t>Afkast</w:t>
      </w:r>
    </w:p>
    <w:p w:rsidR="00AD6607" w:rsidRPr="00AD6607" w:rsidRDefault="00AD6607" w:rsidP="00AD6607">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Som udgangspunkt gæl</w:t>
      </w:r>
      <w:r w:rsidR="00057B4B">
        <w:rPr>
          <w:rFonts w:asciiTheme="minorHAnsi" w:hAnsiTheme="minorHAnsi"/>
          <w:color w:val="808080" w:themeColor="background1" w:themeShade="80"/>
          <w:lang w:val="da-DK"/>
        </w:rPr>
        <w:t>der de samme forhold for virksomheds-</w:t>
      </w:r>
      <w:r w:rsidRPr="00AD6607">
        <w:rPr>
          <w:rFonts w:asciiTheme="minorHAnsi" w:hAnsiTheme="minorHAnsi"/>
          <w:color w:val="808080" w:themeColor="background1" w:themeShade="80"/>
          <w:lang w:val="da-DK"/>
        </w:rPr>
        <w:t xml:space="preserve">obligationer som for andre typer obligationer, f.eks. stats- eller realkreditobligationer. </w:t>
      </w:r>
    </w:p>
    <w:p w:rsidR="00AD6607" w:rsidRPr="00AD6607" w:rsidRDefault="00AD6607" w:rsidP="00AD6607">
      <w:pPr>
        <w:pStyle w:val="Brdtekst"/>
        <w:spacing w:line="244" w:lineRule="auto"/>
        <w:rPr>
          <w:rFonts w:asciiTheme="minorHAnsi" w:hAnsiTheme="minorHAnsi"/>
          <w:color w:val="808080" w:themeColor="background1" w:themeShade="80"/>
          <w:lang w:val="da-DK"/>
        </w:rPr>
      </w:pPr>
    </w:p>
    <w:p w:rsidR="00A06353" w:rsidRDefault="00AD6607" w:rsidP="00A06353">
      <w:pPr>
        <w:pStyle w:val="Brdtekst"/>
        <w:spacing w:line="244" w:lineRule="auto"/>
        <w:rPr>
          <w:rFonts w:asciiTheme="minorHAnsi" w:hAnsiTheme="minorHAnsi"/>
          <w:color w:val="000000" w:themeColor="text1"/>
          <w:lang w:val="da-DK"/>
        </w:rPr>
      </w:pPr>
      <w:r w:rsidRPr="00AD6607">
        <w:rPr>
          <w:rFonts w:asciiTheme="minorHAnsi" w:hAnsiTheme="minorHAnsi"/>
          <w:color w:val="808080" w:themeColor="background1" w:themeShade="80"/>
          <w:lang w:val="da-DK"/>
        </w:rPr>
        <w:t>Når der investeres i virksomheds</w:t>
      </w:r>
      <w:r w:rsidR="00057B4B">
        <w:rPr>
          <w:rFonts w:asciiTheme="minorHAnsi" w:hAnsiTheme="minorHAnsi"/>
          <w:color w:val="808080" w:themeColor="background1" w:themeShade="80"/>
          <w:lang w:val="da-DK"/>
        </w:rPr>
        <w:t>-</w:t>
      </w:r>
      <w:r w:rsidRPr="00AD6607">
        <w:rPr>
          <w:rFonts w:asciiTheme="minorHAnsi" w:hAnsiTheme="minorHAnsi"/>
          <w:color w:val="808080" w:themeColor="background1" w:themeShade="80"/>
          <w:lang w:val="da-DK"/>
        </w:rPr>
        <w:t xml:space="preserve">obligationer påtager man sig mere risiko, end ved investering i </w:t>
      </w:r>
      <w:proofErr w:type="spellStart"/>
      <w:r w:rsidRPr="00AD6607">
        <w:rPr>
          <w:rFonts w:asciiTheme="minorHAnsi" w:hAnsiTheme="minorHAnsi"/>
          <w:color w:val="808080" w:themeColor="background1" w:themeShade="80"/>
          <w:lang w:val="da-DK"/>
        </w:rPr>
        <w:t>stats</w:t>
      </w:r>
      <w:r w:rsidR="00057B4B">
        <w:rPr>
          <w:rFonts w:asciiTheme="minorHAnsi" w:hAnsiTheme="minorHAnsi"/>
          <w:color w:val="808080" w:themeColor="background1" w:themeShade="80"/>
          <w:lang w:val="da-DK"/>
        </w:rPr>
        <w:t>-</w:t>
      </w:r>
      <w:r w:rsidRPr="00AD6607">
        <w:rPr>
          <w:rFonts w:asciiTheme="minorHAnsi" w:hAnsiTheme="minorHAnsi"/>
          <w:color w:val="808080" w:themeColor="background1" w:themeShade="80"/>
          <w:lang w:val="da-DK"/>
        </w:rPr>
        <w:t>obligationer</w:t>
      </w:r>
      <w:proofErr w:type="spellEnd"/>
      <w:r w:rsidRPr="00AD6607">
        <w:rPr>
          <w:rFonts w:asciiTheme="minorHAnsi" w:hAnsiTheme="minorHAnsi"/>
          <w:color w:val="808080" w:themeColor="background1" w:themeShade="80"/>
          <w:lang w:val="da-DK"/>
        </w:rPr>
        <w:t>, men med mulighed for at opnå en merrente som en slags ”præmie”. Forskellen mellem renten på statsobligationer og renten på virksomhedsobligationer kaldes kreditspænd.</w:t>
      </w:r>
      <w:r w:rsidR="00A06353">
        <w:rPr>
          <w:rFonts w:asciiTheme="minorHAnsi" w:hAnsiTheme="minorHAnsi"/>
          <w:color w:val="808080" w:themeColor="background1" w:themeShade="80"/>
          <w:lang w:val="da-DK"/>
        </w:rPr>
        <w:t xml:space="preserve"> </w:t>
      </w:r>
      <w:r w:rsidR="00A06353">
        <w:rPr>
          <w:rFonts w:asciiTheme="minorHAnsi" w:hAnsiTheme="minorHAnsi"/>
          <w:color w:val="808080" w:themeColor="background1" w:themeShade="80"/>
          <w:lang w:val="da-DK"/>
        </w:rPr>
        <w:br/>
      </w:r>
    </w:p>
    <w:p w:rsidR="00AD6607" w:rsidRPr="00AD6607" w:rsidRDefault="00AD6607" w:rsidP="00A06353">
      <w:pPr>
        <w:pStyle w:val="Overskrift1"/>
        <w:spacing w:before="91"/>
        <w:ind w:left="0"/>
        <w:rPr>
          <w:rFonts w:asciiTheme="minorHAnsi" w:hAnsiTheme="minorHAnsi"/>
          <w:color w:val="000000" w:themeColor="text1"/>
          <w:lang w:val="da-DK"/>
        </w:rPr>
      </w:pPr>
      <w:r w:rsidRPr="00AD6607">
        <w:rPr>
          <w:rFonts w:asciiTheme="minorHAnsi" w:hAnsiTheme="minorHAnsi"/>
          <w:color w:val="000000" w:themeColor="text1"/>
          <w:lang w:val="da-DK"/>
        </w:rPr>
        <w:t>Kreditvurdering og rating</w:t>
      </w:r>
    </w:p>
    <w:p w:rsidR="00AD6607" w:rsidRPr="00AD6607" w:rsidRDefault="00AD6607" w:rsidP="00AD6607">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 xml:space="preserve">Kvaliteten af en obligation, det vil sige udsteders evne til at betale lånet </w:t>
      </w:r>
      <w:r w:rsidR="00A06353">
        <w:rPr>
          <w:rFonts w:asciiTheme="minorHAnsi" w:hAnsiTheme="minorHAnsi"/>
          <w:color w:val="808080" w:themeColor="background1" w:themeShade="80"/>
          <w:lang w:val="da-DK"/>
        </w:rPr>
        <w:br w:type="column"/>
      </w:r>
      <w:r w:rsidRPr="00AD6607">
        <w:rPr>
          <w:rFonts w:asciiTheme="minorHAnsi" w:hAnsiTheme="minorHAnsi"/>
          <w:color w:val="808080" w:themeColor="background1" w:themeShade="80"/>
          <w:lang w:val="da-DK"/>
        </w:rPr>
        <w:t xml:space="preserve">tilbage, vurderes blandt andet ved at anvende en karakterskala (rating), der går fra AAA til D, hvor AAA er den højeste rating. Det er typisk statsobligationer udstedt af OECD-lande, der ligger i den øverste kategori (AAA til AA-). Karakteren D gives til virksomheder eller lande, som enten er gået i </w:t>
      </w:r>
      <w:proofErr w:type="spellStart"/>
      <w:r w:rsidRPr="00AD6607">
        <w:rPr>
          <w:rFonts w:asciiTheme="minorHAnsi" w:hAnsiTheme="minorHAnsi"/>
          <w:color w:val="808080" w:themeColor="background1" w:themeShade="80"/>
          <w:lang w:val="da-DK"/>
        </w:rPr>
        <w:t>betalings</w:t>
      </w:r>
      <w:r w:rsidR="00057B4B">
        <w:rPr>
          <w:rFonts w:asciiTheme="minorHAnsi" w:hAnsiTheme="minorHAnsi"/>
          <w:color w:val="808080" w:themeColor="background1" w:themeShade="80"/>
          <w:lang w:val="da-DK"/>
        </w:rPr>
        <w:t>-</w:t>
      </w:r>
      <w:r w:rsidRPr="00AD6607">
        <w:rPr>
          <w:rFonts w:asciiTheme="minorHAnsi" w:hAnsiTheme="minorHAnsi"/>
          <w:color w:val="808080" w:themeColor="background1" w:themeShade="80"/>
          <w:lang w:val="da-DK"/>
        </w:rPr>
        <w:t>standsning</w:t>
      </w:r>
      <w:proofErr w:type="spellEnd"/>
      <w:r w:rsidRPr="00AD6607">
        <w:rPr>
          <w:rFonts w:asciiTheme="minorHAnsi" w:hAnsiTheme="minorHAnsi"/>
          <w:color w:val="808080" w:themeColor="background1" w:themeShade="80"/>
          <w:lang w:val="da-DK"/>
        </w:rPr>
        <w:t xml:space="preserve"> eller har misligholdt betalingsforpligtelserne i forhold til obligationen. Der er således meget stor risiko forbundet med at</w:t>
      </w:r>
    </w:p>
    <w:p w:rsidR="00AD6607" w:rsidRPr="00AD6607" w:rsidRDefault="00AD6607" w:rsidP="00AD6607">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investere i obligationer med denne rating.</w:t>
      </w:r>
    </w:p>
    <w:p w:rsidR="00AD6607" w:rsidRPr="00AD6607" w:rsidRDefault="00AD6607" w:rsidP="00AD6607">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 xml:space="preserve">Såfremt der er udført en rating kan denne ikke stå alene ved vurderingen af investeringen. </w:t>
      </w:r>
    </w:p>
    <w:p w:rsidR="00AD6607" w:rsidRPr="00AD6607" w:rsidRDefault="00AD6607" w:rsidP="00AD6607">
      <w:pPr>
        <w:pStyle w:val="Brdtekst"/>
        <w:spacing w:line="244" w:lineRule="auto"/>
        <w:rPr>
          <w:rFonts w:asciiTheme="minorHAnsi" w:hAnsiTheme="minorHAnsi"/>
          <w:color w:val="808080" w:themeColor="background1" w:themeShade="80"/>
          <w:lang w:val="da-DK"/>
        </w:rPr>
      </w:pPr>
    </w:p>
    <w:p w:rsidR="00AD6607" w:rsidRPr="00AD6607" w:rsidRDefault="00AD6607" w:rsidP="00AD6607">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 xml:space="preserve">Virksomhedsobligationer med karakteren A til BBB kaldes også for </w:t>
      </w:r>
      <w:proofErr w:type="spellStart"/>
      <w:r w:rsidRPr="00AD6607">
        <w:rPr>
          <w:rFonts w:asciiTheme="minorHAnsi" w:hAnsiTheme="minorHAnsi"/>
          <w:color w:val="808080" w:themeColor="background1" w:themeShade="80"/>
          <w:lang w:val="da-DK"/>
        </w:rPr>
        <w:t>investment</w:t>
      </w:r>
      <w:proofErr w:type="spellEnd"/>
      <w:r w:rsidRPr="00AD6607">
        <w:rPr>
          <w:rFonts w:asciiTheme="minorHAnsi" w:hAnsiTheme="minorHAnsi"/>
          <w:color w:val="808080" w:themeColor="background1" w:themeShade="80"/>
          <w:lang w:val="da-DK"/>
        </w:rPr>
        <w:t xml:space="preserve"> gradeobligationer. Investment </w:t>
      </w:r>
      <w:proofErr w:type="gramStart"/>
      <w:r w:rsidRPr="00AD6607">
        <w:rPr>
          <w:rFonts w:asciiTheme="minorHAnsi" w:hAnsiTheme="minorHAnsi"/>
          <w:color w:val="808080" w:themeColor="background1" w:themeShade="80"/>
          <w:lang w:val="da-DK"/>
        </w:rPr>
        <w:t>grade</w:t>
      </w:r>
      <w:proofErr w:type="gramEnd"/>
      <w:r w:rsidRPr="00AD6607">
        <w:rPr>
          <w:rFonts w:asciiTheme="minorHAnsi" w:hAnsiTheme="minorHAnsi"/>
          <w:color w:val="808080" w:themeColor="background1" w:themeShade="80"/>
          <w:lang w:val="da-DK"/>
        </w:rPr>
        <w:t xml:space="preserve"> obligationer er kendetegnet ved, at de som udgangspunkt ikke ”svinger fuldstændig i takt” med hverken</w:t>
      </w:r>
    </w:p>
    <w:p w:rsidR="00AD6607" w:rsidRPr="00AD6607" w:rsidRDefault="00AD6607" w:rsidP="00537E32">
      <w:pPr>
        <w:pStyle w:val="Brdtekst"/>
        <w:spacing w:line="244" w:lineRule="auto"/>
        <w:ind w:right="-95"/>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 xml:space="preserve">obligationer og aktier. Investment </w:t>
      </w:r>
      <w:proofErr w:type="gramStart"/>
      <w:r w:rsidRPr="00AD6607">
        <w:rPr>
          <w:rFonts w:asciiTheme="minorHAnsi" w:hAnsiTheme="minorHAnsi"/>
          <w:color w:val="808080" w:themeColor="background1" w:themeShade="80"/>
          <w:lang w:val="da-DK"/>
        </w:rPr>
        <w:t>grade</w:t>
      </w:r>
      <w:proofErr w:type="gramEnd"/>
      <w:r w:rsidRPr="00AD6607">
        <w:rPr>
          <w:rFonts w:asciiTheme="minorHAnsi" w:hAnsiTheme="minorHAnsi"/>
          <w:color w:val="808080" w:themeColor="background1" w:themeShade="80"/>
          <w:lang w:val="da-DK"/>
        </w:rPr>
        <w:t xml:space="preserve"> obligationer placerer sig typisk mellem obligationer og aktier for så vidt angår risiko og </w:t>
      </w:r>
      <w:r w:rsidR="00537E32">
        <w:rPr>
          <w:rFonts w:asciiTheme="minorHAnsi" w:hAnsiTheme="minorHAnsi"/>
          <w:color w:val="808080" w:themeColor="background1" w:themeShade="80"/>
          <w:lang w:val="da-DK"/>
        </w:rPr>
        <w:t>a</w:t>
      </w:r>
      <w:r w:rsidRPr="00AD6607">
        <w:rPr>
          <w:rFonts w:asciiTheme="minorHAnsi" w:hAnsiTheme="minorHAnsi"/>
          <w:color w:val="808080" w:themeColor="background1" w:themeShade="80"/>
          <w:lang w:val="da-DK"/>
        </w:rPr>
        <w:t>fkastmuligheder.</w:t>
      </w:r>
    </w:p>
    <w:p w:rsidR="00AD6607" w:rsidRPr="00AD6607" w:rsidRDefault="00AD6607" w:rsidP="00AD6607">
      <w:pPr>
        <w:pStyle w:val="Brdtekst"/>
        <w:spacing w:line="244" w:lineRule="auto"/>
        <w:rPr>
          <w:rFonts w:asciiTheme="minorHAnsi" w:hAnsiTheme="minorHAnsi"/>
          <w:color w:val="808080" w:themeColor="background1" w:themeShade="80"/>
          <w:lang w:val="da-DK"/>
        </w:rPr>
      </w:pPr>
    </w:p>
    <w:p w:rsidR="00AD6607" w:rsidRPr="00AD6607" w:rsidRDefault="00AD6607" w:rsidP="00AD6607">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 xml:space="preserve">Obligationer med karakteren BB til C, kaldes også højrenteobligationer (high </w:t>
      </w:r>
      <w:proofErr w:type="spellStart"/>
      <w:r w:rsidRPr="00AD6607">
        <w:rPr>
          <w:rFonts w:asciiTheme="minorHAnsi" w:hAnsiTheme="minorHAnsi"/>
          <w:color w:val="808080" w:themeColor="background1" w:themeShade="80"/>
          <w:lang w:val="da-DK"/>
        </w:rPr>
        <w:t>yield</w:t>
      </w:r>
      <w:proofErr w:type="spellEnd"/>
      <w:r w:rsidRPr="00AD6607">
        <w:rPr>
          <w:rFonts w:asciiTheme="minorHAnsi" w:hAnsiTheme="minorHAnsi"/>
          <w:color w:val="808080" w:themeColor="background1" w:themeShade="80"/>
          <w:lang w:val="da-DK"/>
        </w:rPr>
        <w:t>) eller ”</w:t>
      </w:r>
      <w:proofErr w:type="spellStart"/>
      <w:r w:rsidRPr="00AD6607">
        <w:rPr>
          <w:rFonts w:asciiTheme="minorHAnsi" w:hAnsiTheme="minorHAnsi"/>
          <w:color w:val="808080" w:themeColor="background1" w:themeShade="80"/>
          <w:lang w:val="da-DK"/>
        </w:rPr>
        <w:t>speculative</w:t>
      </w:r>
      <w:proofErr w:type="spellEnd"/>
      <w:r w:rsidRPr="00AD6607">
        <w:rPr>
          <w:rFonts w:asciiTheme="minorHAnsi" w:hAnsiTheme="minorHAnsi"/>
          <w:color w:val="808080" w:themeColor="background1" w:themeShade="80"/>
          <w:lang w:val="da-DK"/>
        </w:rPr>
        <w:t xml:space="preserve"> grade-obligationer”. De ”ligner” i højere grad aktier for så vidt angår risiko og afkastmuligheder.</w:t>
      </w:r>
    </w:p>
    <w:p w:rsidR="00AD6607" w:rsidRPr="00AD6607" w:rsidRDefault="00AD6607" w:rsidP="00AD6607">
      <w:pPr>
        <w:pStyle w:val="Brdtekst"/>
        <w:spacing w:line="244" w:lineRule="auto"/>
        <w:rPr>
          <w:rFonts w:asciiTheme="minorHAnsi" w:hAnsiTheme="minorHAnsi"/>
          <w:color w:val="808080" w:themeColor="background1" w:themeShade="80"/>
          <w:lang w:val="da-DK"/>
        </w:rPr>
      </w:pPr>
    </w:p>
    <w:p w:rsidR="00AD6607" w:rsidRPr="00AD6607" w:rsidRDefault="00AD6607" w:rsidP="00AD6607">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 xml:space="preserve">Du skal være opmærksom på, at ikke alle obligationer har en rating. </w:t>
      </w:r>
    </w:p>
    <w:p w:rsidR="00A06353" w:rsidRDefault="00AD6607" w:rsidP="00AD6607">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 xml:space="preserve">En manglende rating har ikke indflydelse på kvaliteten af obligationen. </w:t>
      </w:r>
      <w:r w:rsidR="00A06353">
        <w:rPr>
          <w:rFonts w:asciiTheme="minorHAnsi" w:hAnsiTheme="minorHAnsi"/>
          <w:color w:val="808080" w:themeColor="background1" w:themeShade="80"/>
          <w:lang w:val="da-DK"/>
        </w:rPr>
        <w:t xml:space="preserve"> </w:t>
      </w:r>
    </w:p>
    <w:p w:rsidR="00A06353" w:rsidRDefault="00A06353" w:rsidP="00AD6607">
      <w:pPr>
        <w:pStyle w:val="Brdtekst"/>
        <w:spacing w:line="244" w:lineRule="auto"/>
        <w:rPr>
          <w:rFonts w:asciiTheme="minorHAnsi" w:hAnsiTheme="minorHAnsi"/>
          <w:color w:val="808080" w:themeColor="background1" w:themeShade="80"/>
          <w:lang w:val="da-DK"/>
        </w:rPr>
      </w:pPr>
    </w:p>
    <w:p w:rsidR="00AD6607" w:rsidRPr="00AD6607" w:rsidRDefault="00AD6607" w:rsidP="00AD6607">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Inden du investerer i virksomheds</w:t>
      </w:r>
      <w:r w:rsidR="00A06353">
        <w:rPr>
          <w:rFonts w:asciiTheme="minorHAnsi" w:hAnsiTheme="minorHAnsi"/>
          <w:color w:val="808080" w:themeColor="background1" w:themeShade="80"/>
          <w:lang w:val="da-DK"/>
        </w:rPr>
        <w:t>-</w:t>
      </w:r>
      <w:r w:rsidRPr="00AD6607">
        <w:rPr>
          <w:rFonts w:asciiTheme="minorHAnsi" w:hAnsiTheme="minorHAnsi"/>
          <w:color w:val="808080" w:themeColor="background1" w:themeShade="80"/>
          <w:lang w:val="da-DK"/>
        </w:rPr>
        <w:t xml:space="preserve">obligationer, bør du orientere dig om individuelle forhold og betingelser </w:t>
      </w:r>
      <w:r w:rsidR="00A06353">
        <w:rPr>
          <w:rFonts w:asciiTheme="minorHAnsi" w:hAnsiTheme="minorHAnsi"/>
          <w:color w:val="808080" w:themeColor="background1" w:themeShade="80"/>
          <w:lang w:val="da-DK"/>
        </w:rPr>
        <w:br w:type="column"/>
      </w:r>
      <w:r w:rsidRPr="00AD6607">
        <w:rPr>
          <w:rFonts w:asciiTheme="minorHAnsi" w:hAnsiTheme="minorHAnsi"/>
          <w:color w:val="808080" w:themeColor="background1" w:themeShade="80"/>
          <w:lang w:val="da-DK"/>
        </w:rPr>
        <w:t xml:space="preserve">for obligationen, herunder eventuelle klausuler, virksomhedens mulighed for </w:t>
      </w:r>
      <w:proofErr w:type="spellStart"/>
      <w:r w:rsidRPr="00AD6607">
        <w:rPr>
          <w:rFonts w:asciiTheme="minorHAnsi" w:hAnsiTheme="minorHAnsi"/>
          <w:color w:val="808080" w:themeColor="background1" w:themeShade="80"/>
          <w:lang w:val="da-DK"/>
        </w:rPr>
        <w:t>førtidsindfrielse</w:t>
      </w:r>
      <w:proofErr w:type="spellEnd"/>
      <w:r w:rsidRPr="00AD6607">
        <w:rPr>
          <w:rFonts w:asciiTheme="minorHAnsi" w:hAnsiTheme="minorHAnsi"/>
          <w:color w:val="808080" w:themeColor="background1" w:themeShade="80"/>
          <w:lang w:val="da-DK"/>
        </w:rPr>
        <w:t xml:space="preserve"> mv. Oplysningerne findes i obligationsprospektet og andet materiale. </w:t>
      </w:r>
    </w:p>
    <w:p w:rsidR="00AD6607" w:rsidRPr="00AD6607" w:rsidRDefault="00AD6607" w:rsidP="00AD6607">
      <w:pPr>
        <w:pStyle w:val="Brdtekst"/>
        <w:spacing w:line="244" w:lineRule="auto"/>
        <w:rPr>
          <w:rFonts w:asciiTheme="minorHAnsi" w:hAnsiTheme="minorHAnsi"/>
          <w:color w:val="808080" w:themeColor="background1" w:themeShade="80"/>
          <w:lang w:val="da-DK"/>
        </w:rPr>
      </w:pPr>
    </w:p>
    <w:p w:rsidR="00AD6607" w:rsidRPr="00AD6607" w:rsidRDefault="00AD6607" w:rsidP="00AD6607">
      <w:pPr>
        <w:pStyle w:val="Overskrift1"/>
        <w:spacing w:before="91"/>
        <w:ind w:left="0"/>
        <w:rPr>
          <w:rFonts w:asciiTheme="minorHAnsi" w:hAnsiTheme="minorHAnsi"/>
          <w:color w:val="000000" w:themeColor="text1"/>
          <w:lang w:val="da-DK"/>
        </w:rPr>
      </w:pPr>
      <w:r w:rsidRPr="00AD6607">
        <w:rPr>
          <w:rFonts w:asciiTheme="minorHAnsi" w:hAnsiTheme="minorHAnsi"/>
          <w:color w:val="000000" w:themeColor="text1"/>
          <w:lang w:val="da-DK"/>
        </w:rPr>
        <w:t>Hvad er risikoen?</w:t>
      </w:r>
    </w:p>
    <w:p w:rsidR="00AD6607" w:rsidRPr="00AD6607" w:rsidRDefault="00AD6607" w:rsidP="00AD6607">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Nedenfor ses en liste over nogle af de risikofaktorer, der er forbundet med at investere i virksomheds-obligationer:</w:t>
      </w:r>
    </w:p>
    <w:p w:rsidR="00AD6607" w:rsidRPr="00AD6607" w:rsidRDefault="00AD6607" w:rsidP="00AD6607">
      <w:pPr>
        <w:pStyle w:val="Brdtekst"/>
        <w:spacing w:line="244" w:lineRule="auto"/>
        <w:rPr>
          <w:rFonts w:asciiTheme="minorHAnsi" w:hAnsiTheme="minorHAnsi"/>
          <w:color w:val="808080" w:themeColor="background1" w:themeShade="80"/>
          <w:lang w:val="da-DK"/>
        </w:rPr>
      </w:pPr>
    </w:p>
    <w:p w:rsidR="00AD6607" w:rsidRPr="00AD6607" w:rsidRDefault="00AD6607" w:rsidP="00057B4B">
      <w:pPr>
        <w:pStyle w:val="Brdtekst"/>
        <w:numPr>
          <w:ilvl w:val="0"/>
          <w:numId w:val="4"/>
        </w:numPr>
        <w:spacing w:line="244" w:lineRule="auto"/>
        <w:ind w:left="426"/>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Ved køb af virksomhedsobligationer yder investor kredit til et selskab, og afkastet afhænger af selskabets vilje og evne til at betale renter og afdrag på gælden.</w:t>
      </w:r>
    </w:p>
    <w:p w:rsidR="00AD6607" w:rsidRPr="00AD6607" w:rsidRDefault="00AD6607" w:rsidP="00057B4B">
      <w:pPr>
        <w:pStyle w:val="Brdtekst"/>
        <w:numPr>
          <w:ilvl w:val="0"/>
          <w:numId w:val="4"/>
        </w:numPr>
        <w:spacing w:line="244" w:lineRule="auto"/>
        <w:ind w:left="426"/>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Investor kan være efterstillet i prioritetsrækken i tilfælde af konkurs, og løber derved større risiko for tab.</w:t>
      </w:r>
    </w:p>
    <w:p w:rsidR="00057B4B" w:rsidRPr="00057B4B" w:rsidRDefault="00AD6607" w:rsidP="009747B4">
      <w:pPr>
        <w:pStyle w:val="Brdtekst"/>
        <w:numPr>
          <w:ilvl w:val="0"/>
          <w:numId w:val="4"/>
        </w:numPr>
        <w:spacing w:line="244" w:lineRule="auto"/>
        <w:ind w:left="426"/>
        <w:rPr>
          <w:rFonts w:asciiTheme="minorHAnsi" w:hAnsiTheme="minorHAnsi"/>
          <w:color w:val="808080" w:themeColor="background1" w:themeShade="80"/>
          <w:lang w:val="da-DK"/>
        </w:rPr>
      </w:pPr>
      <w:r w:rsidRPr="00057B4B">
        <w:rPr>
          <w:rFonts w:asciiTheme="minorHAnsi" w:hAnsiTheme="minorHAnsi"/>
          <w:color w:val="808080" w:themeColor="background1" w:themeShade="80"/>
          <w:lang w:val="da-DK"/>
        </w:rPr>
        <w:t>Selskabet kan købes af andre, og investor risikerer, at køberne ændrer selskabets rating og/eller adfærd med</w:t>
      </w:r>
      <w:r w:rsidR="00057B4B" w:rsidRPr="00057B4B">
        <w:rPr>
          <w:rFonts w:asciiTheme="minorHAnsi" w:hAnsiTheme="minorHAnsi"/>
          <w:color w:val="808080" w:themeColor="background1" w:themeShade="80"/>
          <w:lang w:val="da-DK"/>
        </w:rPr>
        <w:t xml:space="preserve"> hensyn til at servicere sin gæld. Det kan medføre væsentlige kurstab for investor og eventuelle tab ved konkurs.</w:t>
      </w:r>
    </w:p>
    <w:p w:rsidR="00A06353" w:rsidRDefault="00057B4B" w:rsidP="003C7EFE">
      <w:pPr>
        <w:pStyle w:val="Brdtekst"/>
        <w:numPr>
          <w:ilvl w:val="0"/>
          <w:numId w:val="4"/>
        </w:numPr>
        <w:spacing w:line="244" w:lineRule="auto"/>
        <w:ind w:left="426"/>
        <w:rPr>
          <w:rFonts w:asciiTheme="minorHAnsi" w:hAnsiTheme="minorHAnsi"/>
          <w:color w:val="808080" w:themeColor="background1" w:themeShade="80"/>
          <w:lang w:val="da-DK"/>
        </w:rPr>
      </w:pPr>
      <w:r w:rsidRPr="00A06353">
        <w:rPr>
          <w:rFonts w:asciiTheme="minorHAnsi" w:hAnsiTheme="minorHAnsi"/>
          <w:color w:val="808080" w:themeColor="background1" w:themeShade="80"/>
          <w:lang w:val="da-DK"/>
        </w:rPr>
        <w:t>En del af virksomheds-obligationerne, specielt i højrentesegmentet, indeholder forskellige indfrielses-betingelser, der kan være til fordel eller ulempe for investor. Investor anbefales derfor at sætte sig ind i disse forhold inden køb af obligationen.</w:t>
      </w:r>
    </w:p>
    <w:p w:rsidR="00057B4B" w:rsidRPr="00A06353" w:rsidRDefault="00057B4B" w:rsidP="003C7EFE">
      <w:pPr>
        <w:pStyle w:val="Brdtekst"/>
        <w:numPr>
          <w:ilvl w:val="0"/>
          <w:numId w:val="4"/>
        </w:numPr>
        <w:spacing w:line="244" w:lineRule="auto"/>
        <w:ind w:left="426"/>
        <w:rPr>
          <w:rFonts w:asciiTheme="minorHAnsi" w:hAnsiTheme="minorHAnsi"/>
          <w:color w:val="808080" w:themeColor="background1" w:themeShade="80"/>
          <w:lang w:val="da-DK"/>
        </w:rPr>
      </w:pPr>
      <w:r w:rsidRPr="00A06353">
        <w:rPr>
          <w:rFonts w:asciiTheme="minorHAnsi" w:hAnsiTheme="minorHAnsi"/>
          <w:color w:val="808080" w:themeColor="background1" w:themeShade="80"/>
          <w:lang w:val="da-DK"/>
        </w:rPr>
        <w:t>Obligationerne har lavere likviditet end f.eks. statsobligationer og begrænset omsættelighed.</w:t>
      </w:r>
      <w:r w:rsidR="00A06353">
        <w:rPr>
          <w:rFonts w:asciiTheme="minorHAnsi" w:hAnsiTheme="minorHAnsi"/>
          <w:color w:val="808080" w:themeColor="background1" w:themeShade="80"/>
          <w:lang w:val="da-DK"/>
        </w:rPr>
        <w:br w:type="column"/>
      </w:r>
    </w:p>
    <w:p w:rsidR="00057B4B" w:rsidRPr="008155CC" w:rsidRDefault="00057B4B" w:rsidP="00057B4B">
      <w:pPr>
        <w:pStyle w:val="Brdtekst"/>
        <w:numPr>
          <w:ilvl w:val="0"/>
          <w:numId w:val="4"/>
        </w:numPr>
        <w:spacing w:line="244" w:lineRule="auto"/>
        <w:ind w:left="426"/>
        <w:rPr>
          <w:lang w:val="da-DK"/>
        </w:rPr>
      </w:pPr>
      <w:r w:rsidRPr="00057B4B">
        <w:rPr>
          <w:rFonts w:asciiTheme="minorHAnsi" w:hAnsiTheme="minorHAnsi"/>
          <w:color w:val="808080" w:themeColor="background1" w:themeShade="80"/>
          <w:lang w:val="da-DK"/>
        </w:rPr>
        <w:t>Du løber samme rente- og valutarisici som ved andre obligationsinvesteringer</w:t>
      </w:r>
      <w:r w:rsidRPr="008155CC">
        <w:rPr>
          <w:color w:val="58595B"/>
          <w:lang w:val="da-DK"/>
        </w:rPr>
        <w:t>.</w:t>
      </w:r>
    </w:p>
    <w:p w:rsidR="00AD6607" w:rsidRPr="00AD6607" w:rsidRDefault="00AD6607" w:rsidP="00AD6607">
      <w:pPr>
        <w:pStyle w:val="Brdtekst"/>
        <w:spacing w:line="244" w:lineRule="auto"/>
        <w:rPr>
          <w:rFonts w:asciiTheme="minorHAnsi" w:hAnsiTheme="minorHAnsi"/>
          <w:color w:val="808080" w:themeColor="background1" w:themeShade="80"/>
          <w:lang w:val="da-DK"/>
        </w:rPr>
      </w:pPr>
    </w:p>
    <w:p w:rsidR="00AD6607" w:rsidRPr="00AD6607" w:rsidRDefault="00AD6607" w:rsidP="00AD6607">
      <w:pPr>
        <w:pStyle w:val="Overskrift1"/>
        <w:spacing w:before="91"/>
        <w:ind w:left="0"/>
        <w:rPr>
          <w:rFonts w:asciiTheme="minorHAnsi" w:hAnsiTheme="minorHAnsi"/>
          <w:color w:val="000000" w:themeColor="text1"/>
          <w:lang w:val="da-DK"/>
        </w:rPr>
      </w:pPr>
      <w:r w:rsidRPr="00AD6607">
        <w:rPr>
          <w:rFonts w:asciiTheme="minorHAnsi" w:hAnsiTheme="minorHAnsi"/>
          <w:color w:val="000000" w:themeColor="text1"/>
          <w:lang w:val="da-DK"/>
        </w:rPr>
        <w:t xml:space="preserve">Hvor handles virksomhedsobligationer? </w:t>
      </w:r>
    </w:p>
    <w:p w:rsidR="00AD6607" w:rsidRPr="00AD6607" w:rsidRDefault="00AD6607" w:rsidP="00AD6607">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 xml:space="preserve">Selvom virksomhedsobligationer er børsnoterede og kan handles på en børs, handles de ofte på et OTC-marked, der er væsentligt mindre gennemsigtigt. OTC betyder ”over the </w:t>
      </w:r>
      <w:proofErr w:type="spellStart"/>
      <w:r w:rsidRPr="00AD6607">
        <w:rPr>
          <w:rFonts w:asciiTheme="minorHAnsi" w:hAnsiTheme="minorHAnsi"/>
          <w:color w:val="808080" w:themeColor="background1" w:themeShade="80"/>
          <w:lang w:val="da-DK"/>
        </w:rPr>
        <w:t>counter</w:t>
      </w:r>
      <w:proofErr w:type="spellEnd"/>
      <w:r w:rsidRPr="00AD6607">
        <w:rPr>
          <w:rFonts w:asciiTheme="minorHAnsi" w:hAnsiTheme="minorHAnsi"/>
          <w:color w:val="808080" w:themeColor="background1" w:themeShade="80"/>
          <w:lang w:val="da-DK"/>
        </w:rPr>
        <w:t>”, det vil sige, at der handles direkte med en værdipapirhandler.</w:t>
      </w:r>
    </w:p>
    <w:p w:rsidR="00AD6607" w:rsidRDefault="00AD6607" w:rsidP="00AD6607">
      <w:pPr>
        <w:pStyle w:val="Brdtekst"/>
        <w:spacing w:line="244" w:lineRule="auto"/>
        <w:rPr>
          <w:rFonts w:asciiTheme="minorHAnsi" w:hAnsiTheme="minorHAnsi"/>
          <w:color w:val="808080" w:themeColor="background1" w:themeShade="80"/>
          <w:lang w:val="da-DK"/>
        </w:rPr>
      </w:pPr>
    </w:p>
    <w:p w:rsidR="00AD6607" w:rsidRPr="00AD6607" w:rsidRDefault="00AD6607" w:rsidP="00AD6607">
      <w:pPr>
        <w:pStyle w:val="Overskrift1"/>
        <w:spacing w:before="91"/>
        <w:ind w:left="0"/>
        <w:rPr>
          <w:rFonts w:asciiTheme="minorHAnsi" w:hAnsiTheme="minorHAnsi"/>
          <w:color w:val="000000" w:themeColor="text1"/>
          <w:lang w:val="da-DK"/>
        </w:rPr>
      </w:pPr>
      <w:r w:rsidRPr="00AD6607">
        <w:rPr>
          <w:rFonts w:asciiTheme="minorHAnsi" w:hAnsiTheme="minorHAnsi"/>
          <w:color w:val="000000" w:themeColor="text1"/>
          <w:lang w:val="da-DK"/>
        </w:rPr>
        <w:t>Virksomhedsobligationer og andre typer værdipapirer</w:t>
      </w:r>
    </w:p>
    <w:p w:rsidR="00AD6607" w:rsidRPr="00AD6607" w:rsidRDefault="00AD6607" w:rsidP="00AD6607">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 xml:space="preserve">Virksomhedsobligationer i </w:t>
      </w:r>
      <w:proofErr w:type="spellStart"/>
      <w:r w:rsidRPr="00AD6607">
        <w:rPr>
          <w:rFonts w:asciiTheme="minorHAnsi" w:hAnsiTheme="minorHAnsi"/>
          <w:color w:val="808080" w:themeColor="background1" w:themeShade="80"/>
          <w:lang w:val="da-DK"/>
        </w:rPr>
        <w:t>investment</w:t>
      </w:r>
      <w:proofErr w:type="spellEnd"/>
      <w:r w:rsidRPr="00AD6607">
        <w:rPr>
          <w:rFonts w:asciiTheme="minorHAnsi" w:hAnsiTheme="minorHAnsi"/>
          <w:color w:val="808080" w:themeColor="background1" w:themeShade="80"/>
          <w:lang w:val="da-DK"/>
        </w:rPr>
        <w:t xml:space="preserve"> grade- segmentet – det vil sige med god kreditkvalitet – kan være velegnet til at sprede risikoen i en portefølje af værdipapirer, og er derfor et godt supplement til investering i aktier og stats- og realkreditobligationer.</w:t>
      </w:r>
    </w:p>
    <w:p w:rsidR="00AD6607" w:rsidRPr="00AD6607" w:rsidRDefault="00AD6607" w:rsidP="00AD6607">
      <w:pPr>
        <w:pStyle w:val="Brdtekst"/>
        <w:spacing w:line="244" w:lineRule="auto"/>
        <w:rPr>
          <w:rFonts w:asciiTheme="minorHAnsi" w:hAnsiTheme="minorHAnsi"/>
          <w:color w:val="808080" w:themeColor="background1" w:themeShade="80"/>
          <w:lang w:val="da-DK"/>
        </w:rPr>
      </w:pPr>
    </w:p>
    <w:p w:rsidR="00AD6607" w:rsidRPr="00AD6607" w:rsidRDefault="00AD6607" w:rsidP="00AD6607">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Investe</w:t>
      </w:r>
      <w:r w:rsidR="00537E32">
        <w:rPr>
          <w:rFonts w:asciiTheme="minorHAnsi" w:hAnsiTheme="minorHAnsi"/>
          <w:color w:val="808080" w:themeColor="background1" w:themeShade="80"/>
          <w:lang w:val="da-DK"/>
        </w:rPr>
        <w:t>ringsforeningsafdelinger med fo</w:t>
      </w:r>
      <w:r w:rsidRPr="00AD6607">
        <w:rPr>
          <w:rFonts w:asciiTheme="minorHAnsi" w:hAnsiTheme="minorHAnsi"/>
          <w:color w:val="808080" w:themeColor="background1" w:themeShade="80"/>
          <w:lang w:val="da-DK"/>
        </w:rPr>
        <w:t xml:space="preserve">kus på virksomhedsobligationer giver mulighed for at sprede risikoen ud på flere virksomhedsobligationer og dermed selskaber. </w:t>
      </w:r>
    </w:p>
    <w:p w:rsidR="00AD6607" w:rsidRPr="00AD6607" w:rsidRDefault="00AD6607" w:rsidP="00AD6607">
      <w:pPr>
        <w:pStyle w:val="Brdtekst"/>
        <w:spacing w:line="244" w:lineRule="auto"/>
        <w:rPr>
          <w:rFonts w:asciiTheme="minorHAnsi" w:hAnsiTheme="minorHAnsi"/>
          <w:color w:val="808080" w:themeColor="background1" w:themeShade="80"/>
          <w:lang w:val="da-DK"/>
        </w:rPr>
      </w:pPr>
    </w:p>
    <w:p w:rsidR="00AD6607" w:rsidRPr="00AD6607" w:rsidRDefault="00AD6607" w:rsidP="00AD6607">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Med en investeringsforening undgår du desuden at tage hensyn til de begrænsninger for placering i enkelte virksomhedsobligationer, som gælder, hvis der investeres pensionsmidler.</w:t>
      </w:r>
    </w:p>
    <w:p w:rsidR="00AD6607" w:rsidRPr="00AD6607" w:rsidRDefault="00AD6607" w:rsidP="00AD6607">
      <w:pPr>
        <w:pStyle w:val="Brdtekst"/>
        <w:spacing w:line="244" w:lineRule="auto"/>
        <w:rPr>
          <w:rFonts w:asciiTheme="minorHAnsi" w:hAnsiTheme="minorHAnsi"/>
          <w:color w:val="808080" w:themeColor="background1" w:themeShade="80"/>
          <w:lang w:val="da-DK"/>
        </w:rPr>
      </w:pPr>
    </w:p>
    <w:p w:rsidR="00AD6607" w:rsidRPr="00AD6607" w:rsidRDefault="00AD6607" w:rsidP="00AD6607">
      <w:pPr>
        <w:pStyle w:val="Overskrift1"/>
        <w:spacing w:before="91"/>
        <w:ind w:left="0"/>
        <w:rPr>
          <w:rFonts w:asciiTheme="minorHAnsi" w:hAnsiTheme="minorHAnsi"/>
          <w:color w:val="000000" w:themeColor="text1"/>
          <w:lang w:val="da-DK"/>
        </w:rPr>
      </w:pPr>
      <w:r w:rsidRPr="00AD6607">
        <w:rPr>
          <w:rFonts w:asciiTheme="minorHAnsi" w:hAnsiTheme="minorHAnsi"/>
          <w:color w:val="000000" w:themeColor="text1"/>
          <w:lang w:val="da-DK"/>
        </w:rPr>
        <w:t>Pensionsopsparing</w:t>
      </w:r>
      <w:r w:rsidR="0091350E">
        <w:rPr>
          <w:rFonts w:asciiTheme="minorHAnsi" w:hAnsiTheme="minorHAnsi"/>
          <w:color w:val="000000" w:themeColor="text1"/>
          <w:lang w:val="da-DK"/>
        </w:rPr>
        <w:t xml:space="preserve"> </w:t>
      </w:r>
      <w:r w:rsidRPr="00AD6607">
        <w:rPr>
          <w:rFonts w:asciiTheme="minorHAnsi" w:hAnsiTheme="minorHAnsi"/>
          <w:color w:val="000000" w:themeColor="text1"/>
          <w:lang w:val="da-DK"/>
        </w:rPr>
        <w:t>i virksomhedsobligationer</w:t>
      </w:r>
    </w:p>
    <w:p w:rsidR="00AD6607" w:rsidRPr="00AD6607" w:rsidRDefault="00AD6607" w:rsidP="00AD6607">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Når du investerer pensionsmidler, skal du være opmærksom på, at der gælder særlige regler for, hvordan opsparingen</w:t>
      </w:r>
      <w:r w:rsidR="00537E32">
        <w:rPr>
          <w:rFonts w:asciiTheme="minorHAnsi" w:hAnsiTheme="minorHAnsi"/>
          <w:color w:val="808080" w:themeColor="background1" w:themeShade="80"/>
          <w:lang w:val="da-DK"/>
        </w:rPr>
        <w:t xml:space="preserve"> </w:t>
      </w:r>
      <w:r w:rsidRPr="00AD6607">
        <w:rPr>
          <w:rFonts w:asciiTheme="minorHAnsi" w:hAnsiTheme="minorHAnsi"/>
          <w:color w:val="808080" w:themeColor="background1" w:themeShade="80"/>
          <w:lang w:val="da-DK"/>
        </w:rPr>
        <w:t>investeres. Kontakt din rådgiver for yderligere rådgivning om dette.</w:t>
      </w:r>
    </w:p>
    <w:p w:rsidR="00AD6607" w:rsidRPr="00AD6607" w:rsidRDefault="00AD6607" w:rsidP="00AD6607">
      <w:pPr>
        <w:pStyle w:val="Brdtekst"/>
        <w:spacing w:line="244" w:lineRule="auto"/>
        <w:rPr>
          <w:rFonts w:asciiTheme="minorHAnsi" w:hAnsiTheme="minorHAnsi"/>
          <w:color w:val="808080" w:themeColor="background1" w:themeShade="80"/>
          <w:lang w:val="da-DK"/>
        </w:rPr>
      </w:pPr>
    </w:p>
    <w:p w:rsidR="00AD6607" w:rsidRPr="00AD6607" w:rsidRDefault="00AD6607" w:rsidP="00AD6607">
      <w:pPr>
        <w:pStyle w:val="Overskrift1"/>
        <w:spacing w:before="91"/>
        <w:ind w:left="0"/>
        <w:rPr>
          <w:rFonts w:asciiTheme="minorHAnsi" w:hAnsiTheme="minorHAnsi"/>
          <w:color w:val="000000" w:themeColor="text1"/>
          <w:lang w:val="da-DK"/>
        </w:rPr>
      </w:pPr>
      <w:r w:rsidRPr="00AD6607">
        <w:rPr>
          <w:rFonts w:asciiTheme="minorHAnsi" w:hAnsiTheme="minorHAnsi"/>
          <w:color w:val="000000" w:themeColor="text1"/>
          <w:lang w:val="da-DK"/>
        </w:rPr>
        <w:t>Skat</w:t>
      </w:r>
    </w:p>
    <w:p w:rsidR="00AD6607" w:rsidRPr="00AD6607" w:rsidRDefault="00AD6607" w:rsidP="00AD6607">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 xml:space="preserve">Den skattemæssige behandling af afkast fra investering i </w:t>
      </w:r>
      <w:r w:rsidRPr="00AD6607">
        <w:rPr>
          <w:rFonts w:asciiTheme="minorHAnsi" w:hAnsiTheme="minorHAnsi"/>
          <w:color w:val="808080" w:themeColor="background1" w:themeShade="80"/>
          <w:lang w:val="da-DK"/>
        </w:rPr>
        <w:t xml:space="preserve">virksomhedsobligationer er forskellig, alt efter hvilken type midler du anvender til investering. Der er med andre ord forskel på beskatningen af afkast, som stammer fra investering af henholdsvis frie midler, pensionsopsparing, børneopsparing eller selskabs midler. </w:t>
      </w:r>
    </w:p>
    <w:p w:rsidR="00AD6607" w:rsidRPr="00AD6607" w:rsidRDefault="00AD6607" w:rsidP="00AD6607">
      <w:pPr>
        <w:pStyle w:val="Brdtekst"/>
        <w:spacing w:line="244" w:lineRule="auto"/>
        <w:rPr>
          <w:rFonts w:asciiTheme="minorHAnsi" w:hAnsiTheme="minorHAnsi"/>
          <w:color w:val="808080" w:themeColor="background1" w:themeShade="80"/>
          <w:lang w:val="da-DK"/>
        </w:rPr>
      </w:pPr>
    </w:p>
    <w:p w:rsidR="00AD6607" w:rsidRPr="00AD6607" w:rsidRDefault="00AD6607" w:rsidP="00AD6607">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Den skattemæssige behandling kan variere og ændre sig afhængig af dine skattemæssige forhold, eller som følge af ændrede regler for beskatning. Vi anbefaler, at du kontakter en rådgiver om skattemæssige konsekvenser af en investering.</w:t>
      </w:r>
    </w:p>
    <w:p w:rsidR="00057B4B" w:rsidRPr="006133A9" w:rsidRDefault="00057B4B" w:rsidP="00AD6607">
      <w:pPr>
        <w:pStyle w:val="Brdtekst"/>
        <w:spacing w:line="244" w:lineRule="auto"/>
        <w:rPr>
          <w:rFonts w:asciiTheme="minorHAnsi" w:hAnsiTheme="minorHAnsi"/>
          <w:color w:val="808080" w:themeColor="background1" w:themeShade="80"/>
          <w:lang w:val="da-DK"/>
        </w:rPr>
      </w:pPr>
    </w:p>
    <w:p w:rsidR="006133A9" w:rsidRPr="006133A9" w:rsidRDefault="006133A9" w:rsidP="006133A9">
      <w:pPr>
        <w:pStyle w:val="Brdtekst"/>
        <w:spacing w:line="244" w:lineRule="auto"/>
        <w:rPr>
          <w:rFonts w:asciiTheme="minorHAnsi" w:hAnsiTheme="minorHAnsi"/>
          <w:color w:val="808080" w:themeColor="background1" w:themeShade="80"/>
          <w:lang w:val="da-DK"/>
        </w:rPr>
      </w:pPr>
    </w:p>
    <w:p w:rsidR="00CB5FC1" w:rsidRPr="00CB5FC1" w:rsidRDefault="00CB5FC1" w:rsidP="00CB5FC1">
      <w:pPr>
        <w:pStyle w:val="Brdtekst"/>
        <w:spacing w:line="244" w:lineRule="auto"/>
        <w:rPr>
          <w:rFonts w:asciiTheme="minorHAnsi" w:hAnsiTheme="minorHAnsi"/>
          <w:color w:val="808080" w:themeColor="background1" w:themeShade="80"/>
          <w:lang w:val="da-DK"/>
        </w:rPr>
      </w:pPr>
    </w:p>
    <w:p w:rsidR="00CB5FC1" w:rsidRDefault="00CB5FC1" w:rsidP="00CB5FC1">
      <w:pPr>
        <w:pStyle w:val="Overskrift1"/>
        <w:spacing w:before="91"/>
        <w:ind w:left="0"/>
        <w:rPr>
          <w:rFonts w:asciiTheme="minorHAnsi" w:hAnsiTheme="minorHAnsi"/>
          <w:color w:val="000000" w:themeColor="text1"/>
          <w:lang w:val="da-DK"/>
        </w:rPr>
      </w:pPr>
    </w:p>
    <w:p w:rsidR="005B54B8" w:rsidRPr="00971A87" w:rsidRDefault="005B54B8" w:rsidP="00971A87">
      <w:pPr>
        <w:pStyle w:val="Brdtekst"/>
        <w:spacing w:before="11"/>
        <w:rPr>
          <w:rFonts w:asciiTheme="minorHAnsi" w:hAnsiTheme="minorHAnsi"/>
          <w:color w:val="808080" w:themeColor="background1" w:themeShade="80"/>
          <w:lang w:val="da-DK"/>
        </w:rPr>
      </w:pPr>
    </w:p>
    <w:p w:rsidR="004B28D5" w:rsidRPr="00971A87" w:rsidRDefault="004B28D5" w:rsidP="004B28D5">
      <w:pPr>
        <w:spacing w:after="0" w:line="240" w:lineRule="auto"/>
        <w:rPr>
          <w:color w:val="808080" w:themeColor="background1" w:themeShade="80"/>
        </w:rPr>
      </w:pPr>
    </w:p>
    <w:p w:rsidR="004B28D5" w:rsidRPr="00971A87" w:rsidRDefault="004B28D5" w:rsidP="004B28D5">
      <w:pPr>
        <w:spacing w:after="0" w:line="240" w:lineRule="auto"/>
        <w:rPr>
          <w:color w:val="808080" w:themeColor="background1" w:themeShade="80"/>
        </w:rPr>
      </w:pPr>
    </w:p>
    <w:p w:rsidR="004B28D5" w:rsidRPr="00971A87" w:rsidRDefault="004B28D5" w:rsidP="004B28D5">
      <w:pPr>
        <w:spacing w:after="0" w:line="240" w:lineRule="auto"/>
        <w:rPr>
          <w:color w:val="808080" w:themeColor="background1" w:themeShade="80"/>
        </w:rPr>
        <w:sectPr w:rsidR="004B28D5" w:rsidRPr="00971A87" w:rsidSect="005B54B8">
          <w:type w:val="continuous"/>
          <w:pgSz w:w="11906" w:h="16838"/>
          <w:pgMar w:top="1701" w:right="1134" w:bottom="1701" w:left="1134" w:header="708" w:footer="708" w:gutter="0"/>
          <w:cols w:num="3" w:space="708"/>
          <w:docGrid w:linePitch="360"/>
        </w:sectPr>
      </w:pPr>
    </w:p>
    <w:p w:rsidR="003A2BD3" w:rsidRDefault="003A2BD3" w:rsidP="004B28D5">
      <w:pPr>
        <w:spacing w:after="0" w:line="240" w:lineRule="auto"/>
        <w:rPr>
          <w:color w:val="808080" w:themeColor="background1" w:themeShade="80"/>
        </w:rPr>
      </w:pPr>
    </w:p>
    <w:p w:rsidR="00480C44" w:rsidRDefault="00480C44" w:rsidP="004B28D5">
      <w:pPr>
        <w:spacing w:after="0" w:line="240" w:lineRule="auto"/>
        <w:rPr>
          <w:color w:val="808080" w:themeColor="background1" w:themeShade="80"/>
        </w:rPr>
      </w:pPr>
    </w:p>
    <w:p w:rsidR="00480C44" w:rsidRDefault="00480C44" w:rsidP="004B28D5">
      <w:pPr>
        <w:spacing w:after="0" w:line="240" w:lineRule="auto"/>
        <w:rPr>
          <w:color w:val="808080" w:themeColor="background1" w:themeShade="80"/>
        </w:rPr>
      </w:pPr>
    </w:p>
    <w:p w:rsidR="00480C44" w:rsidRPr="00971A87" w:rsidRDefault="008A72AB" w:rsidP="004B28D5">
      <w:pPr>
        <w:spacing w:after="0" w:line="240" w:lineRule="auto"/>
        <w:rPr>
          <w:color w:val="808080" w:themeColor="background1" w:themeShade="80"/>
        </w:rPr>
      </w:pPr>
      <w:bookmarkStart w:id="0" w:name="_GoBack"/>
      <w:bookmarkEnd w:id="0"/>
      <w:r>
        <w:rPr>
          <w:noProof/>
        </w:rPr>
        <mc:AlternateContent>
          <mc:Choice Requires="wpg">
            <w:drawing>
              <wp:anchor distT="0" distB="0" distL="114300" distR="114300" simplePos="0" relativeHeight="251659264" behindDoc="0" locked="0" layoutInCell="1" allowOverlap="1" wp14:anchorId="6C726FCB" wp14:editId="7D37B9B3">
                <wp:simplePos x="0" y="0"/>
                <wp:positionH relativeFrom="margin">
                  <wp:align>left</wp:align>
                </wp:positionH>
                <wp:positionV relativeFrom="paragraph">
                  <wp:posOffset>3786361</wp:posOffset>
                </wp:positionV>
                <wp:extent cx="5562738" cy="803188"/>
                <wp:effectExtent l="0" t="0" r="0" b="16510"/>
                <wp:wrapNone/>
                <wp:docPr id="18" name="Gruppe 18"/>
                <wp:cNvGraphicFramePr/>
                <a:graphic xmlns:a="http://schemas.openxmlformats.org/drawingml/2006/main">
                  <a:graphicData uri="http://schemas.microsoft.com/office/word/2010/wordprocessingGroup">
                    <wpg:wgp>
                      <wpg:cNvGrpSpPr/>
                      <wpg:grpSpPr>
                        <a:xfrm>
                          <a:off x="0" y="0"/>
                          <a:ext cx="5562738" cy="803188"/>
                          <a:chOff x="0" y="83008"/>
                          <a:chExt cx="5563395" cy="805618"/>
                        </a:xfrm>
                      </wpg:grpSpPr>
                      <wpg:grpSp>
                        <wpg:cNvPr id="19" name="Group 2"/>
                        <wpg:cNvGrpSpPr>
                          <a:grpSpLocks/>
                        </wpg:cNvGrpSpPr>
                        <wpg:grpSpPr bwMode="auto">
                          <a:xfrm>
                            <a:off x="0" y="83008"/>
                            <a:ext cx="933510" cy="805618"/>
                            <a:chOff x="744" y="209"/>
                            <a:chExt cx="875" cy="922"/>
                          </a:xfrm>
                        </wpg:grpSpPr>
                        <wps:wsp>
                          <wps:cNvPr id="20" name="Rectangle 6"/>
                          <wps:cNvSpPr>
                            <a:spLocks noChangeArrowheads="1"/>
                          </wps:cNvSpPr>
                          <wps:spPr bwMode="auto">
                            <a:xfrm>
                              <a:off x="744" y="665"/>
                              <a:ext cx="875" cy="388"/>
                            </a:xfrm>
                            <a:prstGeom prst="rect">
                              <a:avLst/>
                            </a:prstGeom>
                            <a:solidFill>
                              <a:srgbClr val="EEC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5"/>
                          <wps:cNvSpPr>
                            <a:spLocks noChangeArrowheads="1"/>
                          </wps:cNvSpPr>
                          <wps:spPr bwMode="auto">
                            <a:xfrm>
                              <a:off x="744" y="209"/>
                              <a:ext cx="875" cy="455"/>
                            </a:xfrm>
                            <a:prstGeom prst="rect">
                              <a:avLst/>
                            </a:prstGeom>
                            <a:solidFill>
                              <a:srgbClr val="EEC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Text Box 4"/>
                          <wps:cNvSpPr txBox="1">
                            <a:spLocks noChangeArrowheads="1"/>
                          </wps:cNvSpPr>
                          <wps:spPr bwMode="auto">
                            <a:xfrm>
                              <a:off x="831" y="247"/>
                              <a:ext cx="761" cy="417"/>
                            </a:xfrm>
                            <a:prstGeom prst="rect">
                              <a:avLst/>
                            </a:prstGeom>
                            <a:solidFill>
                              <a:srgbClr val="EEC6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72AB" w:rsidRPr="00704438" w:rsidRDefault="008A72AB" w:rsidP="008A72AB">
                                <w:pPr>
                                  <w:ind w:right="2"/>
                                  <w:rPr>
                                    <w:rFonts w:ascii="Calibri" w:hAnsi="Calibri"/>
                                    <w:b/>
                                    <w:color w:val="000000" w:themeColor="text1"/>
                                    <w:sz w:val="18"/>
                                  </w:rPr>
                                </w:pPr>
                                <w:r w:rsidRPr="00704438">
                                  <w:rPr>
                                    <w:rFonts w:ascii="Calibri" w:hAnsi="Calibri"/>
                                    <w:b/>
                                    <w:color w:val="000000" w:themeColor="text1"/>
                                    <w:w w:val="95"/>
                                    <w:sz w:val="18"/>
                                  </w:rPr>
                                  <w:t xml:space="preserve">Dette produkt er </w:t>
                                </w:r>
                                <w:r w:rsidRPr="00704438">
                                  <w:rPr>
                                    <w:rFonts w:ascii="Calibri" w:hAnsi="Calibri"/>
                                    <w:b/>
                                    <w:color w:val="000000" w:themeColor="text1"/>
                                    <w:sz w:val="18"/>
                                  </w:rPr>
                                  <w:t>risikomærket</w:t>
                                </w:r>
                              </w:p>
                            </w:txbxContent>
                          </wps:txbx>
                          <wps:bodyPr rot="0" vert="horz" wrap="square" lIns="0" tIns="0" rIns="0" bIns="0" anchor="t" anchorCtr="0" upright="1">
                            <a:noAutofit/>
                          </wps:bodyPr>
                        </wps:wsp>
                        <wps:wsp>
                          <wps:cNvPr id="23" name="Text Box 3"/>
                          <wps:cNvSpPr txBox="1">
                            <a:spLocks noChangeArrowheads="1"/>
                          </wps:cNvSpPr>
                          <wps:spPr bwMode="auto">
                            <a:xfrm>
                              <a:off x="831" y="805"/>
                              <a:ext cx="553"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2AB" w:rsidRPr="00704438" w:rsidRDefault="008A72AB" w:rsidP="008A72AB">
                                <w:pPr>
                                  <w:spacing w:line="201" w:lineRule="exact"/>
                                  <w:rPr>
                                    <w:rFonts w:ascii="Calibri" w:hAnsi="Calibri"/>
                                    <w:b/>
                                  </w:rPr>
                                </w:pPr>
                                <w:r w:rsidRPr="00704438">
                                  <w:rPr>
                                    <w:rFonts w:ascii="Calibri" w:hAnsi="Calibri"/>
                                    <w:b/>
                                  </w:rPr>
                                  <w:t>GUL</w:t>
                                </w:r>
                              </w:p>
                            </w:txbxContent>
                          </wps:txbx>
                          <wps:bodyPr rot="0" vert="horz" wrap="square" lIns="0" tIns="0" rIns="0" bIns="0" anchor="t" anchorCtr="0" upright="1">
                            <a:noAutofit/>
                          </wps:bodyPr>
                        </wps:wsp>
                      </wpg:grpSp>
                      <wps:wsp>
                        <wps:cNvPr id="24" name="Tekstfelt 2"/>
                        <wps:cNvSpPr txBox="1">
                          <a:spLocks noChangeArrowheads="1"/>
                        </wps:cNvSpPr>
                        <wps:spPr bwMode="auto">
                          <a:xfrm>
                            <a:off x="971169" y="118788"/>
                            <a:ext cx="4592226" cy="661123"/>
                          </a:xfrm>
                          <a:prstGeom prst="rect">
                            <a:avLst/>
                          </a:prstGeom>
                          <a:solidFill>
                            <a:srgbClr val="FFFFFF"/>
                          </a:solidFill>
                          <a:ln w="9525">
                            <a:noFill/>
                            <a:miter lim="800000"/>
                            <a:headEnd/>
                            <a:tailEnd/>
                          </a:ln>
                        </wps:spPr>
                        <wps:txbx>
                          <w:txbxContent>
                            <w:p w:rsidR="008A72AB" w:rsidRDefault="008A72AB" w:rsidP="008A72AB">
                              <w:pPr>
                                <w:spacing w:after="0" w:line="240" w:lineRule="auto"/>
                                <w:rPr>
                                  <w:rFonts w:ascii="Calibri" w:hAnsi="Calibri"/>
                                  <w:color w:val="808080" w:themeColor="background1" w:themeShade="80"/>
                                  <w:sz w:val="18"/>
                                  <w:szCs w:val="20"/>
                                </w:rPr>
                              </w:pPr>
                              <w:r w:rsidRPr="003A2BD3">
                                <w:rPr>
                                  <w:rFonts w:ascii="Calibri" w:hAnsi="Calibri"/>
                                  <w:color w:val="808080" w:themeColor="background1" w:themeShade="80"/>
                                  <w:sz w:val="18"/>
                                  <w:szCs w:val="20"/>
                                </w:rPr>
                                <w:t xml:space="preserve">Dette produkt er risikomærket gul. Det betyder efter Bekendtgørelse om risikomærkning af investeringsprodukter, at der er risiko for, at det investerede beløb kan tabes helt eller delvist, og produkttypen ikke er vanskelig at gennemskue. </w:t>
                              </w:r>
                            </w:p>
                            <w:p w:rsidR="008A72AB" w:rsidRPr="003A2BD3" w:rsidRDefault="008A72AB" w:rsidP="008A72AB">
                              <w:pPr>
                                <w:spacing w:after="0" w:line="240" w:lineRule="auto"/>
                                <w:rPr>
                                  <w:rFonts w:ascii="Calibri" w:hAnsi="Calibri" w:cs="Times New Roman"/>
                                  <w:color w:val="808080" w:themeColor="background1" w:themeShade="80"/>
                                  <w:sz w:val="18"/>
                                  <w:szCs w:val="20"/>
                                </w:rPr>
                              </w:pPr>
                              <w:r w:rsidRPr="003A2BD3">
                                <w:rPr>
                                  <w:rFonts w:ascii="Calibri" w:hAnsi="Calibri"/>
                                  <w:color w:val="808080" w:themeColor="background1" w:themeShade="80"/>
                                  <w:sz w:val="18"/>
                                  <w:szCs w:val="20"/>
                                </w:rPr>
                                <w:t xml:space="preserve">Du kan få mere at vide om risikomærkningen ved at kontakte os. </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C726FCB" id="Gruppe 18" o:spid="_x0000_s1026" style="position:absolute;margin-left:0;margin-top:298.15pt;width:438pt;height:63.25pt;z-index:251659264;mso-position-horizontal:left;mso-position-horizontal-relative:margin;mso-width-relative:margin;mso-height-relative:margin" coordorigin=",830" coordsize="55633,8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">
                <v:group id="Group 2" o:spid="_x0000_s1027" style="position:absolute;top:830;width:9335;height:8056" coordorigin="744,209" coordsize="87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6" o:spid="_x0000_s1028" style="position:absolute;left:744;top:665;width:875;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" fillcolor="#eec600" stroked="f"/>
                  <v:rect id="Rectangle 5" o:spid="_x0000_s1029" style="position:absolute;left:744;top:209;width:875;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" fillcolor="#eec600" stroked="f"/>
                  <v:shapetype id="_x0000_t202" coordsize="21600,21600" o:spt="202" path="m,l,21600r21600,l21600,xe">
                    <v:stroke joinstyle="miter"/>
                    <v:path gradientshapeok="t" o:connecttype="rect"/>
                  </v:shapetype>
                  <v:shape id="Text Box 4" o:spid="_x0000_s1030" type="#_x0000_t202" style="position:absolute;left:831;top:247;width:761;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" fillcolor="#eec600" stroked="f">
                    <v:textbox inset="0,0,0,0">
                      <w:txbxContent>
                        <w:p w:rsidR="008A72AB" w:rsidRPr="00704438" w:rsidRDefault="008A72AB" w:rsidP="008A72AB">
                          <w:pPr>
                            <w:ind w:right="2"/>
                            <w:rPr>
                              <w:rFonts w:ascii="Calibri" w:hAnsi="Calibri"/>
                              <w:b/>
                              <w:color w:val="000000" w:themeColor="text1"/>
                              <w:sz w:val="18"/>
                            </w:rPr>
                          </w:pPr>
                          <w:r w:rsidRPr="00704438">
                            <w:rPr>
                              <w:rFonts w:ascii="Calibri" w:hAnsi="Calibri"/>
                              <w:b/>
                              <w:color w:val="000000" w:themeColor="text1"/>
                              <w:w w:val="95"/>
                              <w:sz w:val="18"/>
                            </w:rPr>
                            <w:t xml:space="preserve">Dette produkt er </w:t>
                          </w:r>
                          <w:r w:rsidRPr="00704438">
                            <w:rPr>
                              <w:rFonts w:ascii="Calibri" w:hAnsi="Calibri"/>
                              <w:b/>
                              <w:color w:val="000000" w:themeColor="text1"/>
                              <w:sz w:val="18"/>
                            </w:rPr>
                            <w:t>risikomærket</w:t>
                          </w:r>
                        </w:p>
                      </w:txbxContent>
                    </v:textbox>
                  </v:shape>
                  <v:shape id="Text Box 3" o:spid="_x0000_s1031" type="#_x0000_t202" style="position:absolute;left:831;top:805;width:55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8A72AB" w:rsidRPr="00704438" w:rsidRDefault="008A72AB" w:rsidP="008A72AB">
                          <w:pPr>
                            <w:spacing w:line="201" w:lineRule="exact"/>
                            <w:rPr>
                              <w:rFonts w:ascii="Calibri" w:hAnsi="Calibri"/>
                              <w:b/>
                            </w:rPr>
                          </w:pPr>
                          <w:r w:rsidRPr="00704438">
                            <w:rPr>
                              <w:rFonts w:ascii="Calibri" w:hAnsi="Calibri"/>
                              <w:b/>
                            </w:rPr>
                            <w:t>GUL</w:t>
                          </w:r>
                        </w:p>
                      </w:txbxContent>
                    </v:textbox>
                  </v:shape>
                </v:group>
                <v:shape id="Tekstfelt 2" o:spid="_x0000_s1032" type="#_x0000_t202" style="position:absolute;left:9711;top:1187;width:45922;height:6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" stroked="f">
                  <v:textbox style="mso-fit-shape-to-text:t">
                    <w:txbxContent>
                      <w:p w:rsidR="008A72AB" w:rsidRDefault="008A72AB" w:rsidP="008A72AB">
                        <w:pPr>
                          <w:spacing w:after="0" w:line="240" w:lineRule="auto"/>
                          <w:rPr>
                            <w:rFonts w:ascii="Calibri" w:hAnsi="Calibri"/>
                            <w:color w:val="808080" w:themeColor="background1" w:themeShade="80"/>
                            <w:sz w:val="18"/>
                            <w:szCs w:val="20"/>
                          </w:rPr>
                        </w:pPr>
                        <w:r w:rsidRPr="003A2BD3">
                          <w:rPr>
                            <w:rFonts w:ascii="Calibri" w:hAnsi="Calibri"/>
                            <w:color w:val="808080" w:themeColor="background1" w:themeShade="80"/>
                            <w:sz w:val="18"/>
                            <w:szCs w:val="20"/>
                          </w:rPr>
                          <w:t xml:space="preserve">Dette produkt er risikomærket gul. Det betyder efter Bekendtgørelse om risikomærkning af investeringsprodukter, at der er risiko for, at det investerede beløb kan tabes helt eller delvist, og produkttypen ikke er vanskelig at gennemskue. </w:t>
                        </w:r>
                      </w:p>
                      <w:p w:rsidR="008A72AB" w:rsidRPr="003A2BD3" w:rsidRDefault="008A72AB" w:rsidP="008A72AB">
                        <w:pPr>
                          <w:spacing w:after="0" w:line="240" w:lineRule="auto"/>
                          <w:rPr>
                            <w:rFonts w:ascii="Calibri" w:hAnsi="Calibri" w:cs="Times New Roman"/>
                            <w:color w:val="808080" w:themeColor="background1" w:themeShade="80"/>
                            <w:sz w:val="18"/>
                            <w:szCs w:val="20"/>
                          </w:rPr>
                        </w:pPr>
                        <w:r w:rsidRPr="003A2BD3">
                          <w:rPr>
                            <w:rFonts w:ascii="Calibri" w:hAnsi="Calibri"/>
                            <w:color w:val="808080" w:themeColor="background1" w:themeShade="80"/>
                            <w:sz w:val="18"/>
                            <w:szCs w:val="20"/>
                          </w:rPr>
                          <w:t xml:space="preserve">Du kan få mere at vide om risikomærkningen ved at kontakte os. </w:t>
                        </w:r>
                      </w:p>
                    </w:txbxContent>
                  </v:textbox>
                </v:shape>
                <w10:wrap anchorx="margin"/>
              </v:group>
            </w:pict>
          </mc:Fallback>
        </mc:AlternateContent>
      </w:r>
    </w:p>
    <w:sectPr w:rsidR="00480C44" w:rsidRPr="00971A87" w:rsidSect="004B28D5">
      <w:type w:val="continuous"/>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oundryFormSans-Book">
    <w:altName w:val="Times New Roman"/>
    <w:charset w:val="00"/>
    <w:family w:val="auto"/>
    <w:pitch w:val="variable"/>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018E"/>
    <w:multiLevelType w:val="hybridMultilevel"/>
    <w:tmpl w:val="81CA9454"/>
    <w:lvl w:ilvl="0" w:tplc="036475AA">
      <w:start w:val="1"/>
      <w:numFmt w:val="bullet"/>
      <w:lvlText w:val=""/>
      <w:lvlJc w:val="left"/>
      <w:pPr>
        <w:ind w:left="1062" w:hanging="227"/>
      </w:pPr>
      <w:rPr>
        <w:rFonts w:ascii="Wingdings" w:eastAsia="Wingdings" w:hAnsi="Wingdings" w:hint="default"/>
        <w:color w:val="060B7F"/>
        <w:sz w:val="18"/>
        <w:szCs w:val="18"/>
      </w:rPr>
    </w:lvl>
    <w:lvl w:ilvl="1" w:tplc="6262B296">
      <w:start w:val="1"/>
      <w:numFmt w:val="bullet"/>
      <w:lvlText w:val="•"/>
      <w:lvlJc w:val="left"/>
      <w:pPr>
        <w:ind w:left="1336" w:hanging="227"/>
      </w:pPr>
      <w:rPr>
        <w:rFonts w:hint="default"/>
      </w:rPr>
    </w:lvl>
    <w:lvl w:ilvl="2" w:tplc="9BB4C0E6">
      <w:start w:val="1"/>
      <w:numFmt w:val="bullet"/>
      <w:lvlText w:val="•"/>
      <w:lvlJc w:val="left"/>
      <w:pPr>
        <w:ind w:left="1609" w:hanging="227"/>
      </w:pPr>
      <w:rPr>
        <w:rFonts w:hint="default"/>
      </w:rPr>
    </w:lvl>
    <w:lvl w:ilvl="3" w:tplc="B48A8FD0">
      <w:start w:val="1"/>
      <w:numFmt w:val="bullet"/>
      <w:lvlText w:val="•"/>
      <w:lvlJc w:val="left"/>
      <w:pPr>
        <w:ind w:left="1883" w:hanging="227"/>
      </w:pPr>
      <w:rPr>
        <w:rFonts w:hint="default"/>
      </w:rPr>
    </w:lvl>
    <w:lvl w:ilvl="4" w:tplc="A4FE1C7C">
      <w:start w:val="1"/>
      <w:numFmt w:val="bullet"/>
      <w:lvlText w:val="•"/>
      <w:lvlJc w:val="left"/>
      <w:pPr>
        <w:ind w:left="2157" w:hanging="227"/>
      </w:pPr>
      <w:rPr>
        <w:rFonts w:hint="default"/>
      </w:rPr>
    </w:lvl>
    <w:lvl w:ilvl="5" w:tplc="05DE6190">
      <w:start w:val="1"/>
      <w:numFmt w:val="bullet"/>
      <w:lvlText w:val="•"/>
      <w:lvlJc w:val="left"/>
      <w:pPr>
        <w:ind w:left="2430" w:hanging="227"/>
      </w:pPr>
      <w:rPr>
        <w:rFonts w:hint="default"/>
      </w:rPr>
    </w:lvl>
    <w:lvl w:ilvl="6" w:tplc="4864713A">
      <w:start w:val="1"/>
      <w:numFmt w:val="bullet"/>
      <w:lvlText w:val="•"/>
      <w:lvlJc w:val="left"/>
      <w:pPr>
        <w:ind w:left="2704" w:hanging="227"/>
      </w:pPr>
      <w:rPr>
        <w:rFonts w:hint="default"/>
      </w:rPr>
    </w:lvl>
    <w:lvl w:ilvl="7" w:tplc="5AB8E2A2">
      <w:start w:val="1"/>
      <w:numFmt w:val="bullet"/>
      <w:lvlText w:val="•"/>
      <w:lvlJc w:val="left"/>
      <w:pPr>
        <w:ind w:left="2977" w:hanging="227"/>
      </w:pPr>
      <w:rPr>
        <w:rFonts w:hint="default"/>
      </w:rPr>
    </w:lvl>
    <w:lvl w:ilvl="8" w:tplc="E2F4667A">
      <w:start w:val="1"/>
      <w:numFmt w:val="bullet"/>
      <w:lvlText w:val="•"/>
      <w:lvlJc w:val="left"/>
      <w:pPr>
        <w:ind w:left="3251" w:hanging="227"/>
      </w:pPr>
      <w:rPr>
        <w:rFonts w:hint="default"/>
      </w:rPr>
    </w:lvl>
  </w:abstractNum>
  <w:abstractNum w:abstractNumId="1" w15:restartNumberingAfterBreak="0">
    <w:nsid w:val="43F95E6E"/>
    <w:multiLevelType w:val="hybridMultilevel"/>
    <w:tmpl w:val="E4C293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BA95D11"/>
    <w:multiLevelType w:val="hybridMultilevel"/>
    <w:tmpl w:val="2EE8FC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CBF72A5"/>
    <w:multiLevelType w:val="hybridMultilevel"/>
    <w:tmpl w:val="EDB6F0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85F7D99"/>
    <w:multiLevelType w:val="hybridMultilevel"/>
    <w:tmpl w:val="420AFC86"/>
    <w:lvl w:ilvl="0" w:tplc="3D508264">
      <w:start w:val="1"/>
      <w:numFmt w:val="bullet"/>
      <w:lvlText w:val=""/>
      <w:lvlJc w:val="left"/>
      <w:pPr>
        <w:ind w:left="558" w:hanging="227"/>
      </w:pPr>
      <w:rPr>
        <w:rFonts w:ascii="Wingdings" w:eastAsia="Wingdings" w:hAnsi="Wingdings" w:hint="default"/>
        <w:color w:val="060B7F"/>
        <w:sz w:val="18"/>
        <w:szCs w:val="18"/>
      </w:rPr>
    </w:lvl>
    <w:lvl w:ilvl="1" w:tplc="D90C40E4">
      <w:start w:val="1"/>
      <w:numFmt w:val="bullet"/>
      <w:lvlText w:val=""/>
      <w:lvlJc w:val="left"/>
      <w:pPr>
        <w:ind w:left="785" w:hanging="227"/>
      </w:pPr>
      <w:rPr>
        <w:rFonts w:ascii="Wingdings" w:eastAsia="Wingdings" w:hAnsi="Wingdings" w:hint="default"/>
        <w:color w:val="556771"/>
        <w:sz w:val="18"/>
        <w:szCs w:val="18"/>
      </w:rPr>
    </w:lvl>
    <w:lvl w:ilvl="2" w:tplc="E26252DA">
      <w:start w:val="1"/>
      <w:numFmt w:val="bullet"/>
      <w:lvlText w:val="•"/>
      <w:lvlJc w:val="left"/>
      <w:pPr>
        <w:ind w:left="1065" w:hanging="227"/>
      </w:pPr>
      <w:rPr>
        <w:rFonts w:hint="default"/>
      </w:rPr>
    </w:lvl>
    <w:lvl w:ilvl="3" w:tplc="FFF4CEA4">
      <w:start w:val="1"/>
      <w:numFmt w:val="bullet"/>
      <w:lvlText w:val="•"/>
      <w:lvlJc w:val="left"/>
      <w:pPr>
        <w:ind w:left="1344" w:hanging="227"/>
      </w:pPr>
      <w:rPr>
        <w:rFonts w:hint="default"/>
      </w:rPr>
    </w:lvl>
    <w:lvl w:ilvl="4" w:tplc="E9261B4E">
      <w:start w:val="1"/>
      <w:numFmt w:val="bullet"/>
      <w:lvlText w:val="•"/>
      <w:lvlJc w:val="left"/>
      <w:pPr>
        <w:ind w:left="1624" w:hanging="227"/>
      </w:pPr>
      <w:rPr>
        <w:rFonts w:hint="default"/>
      </w:rPr>
    </w:lvl>
    <w:lvl w:ilvl="5" w:tplc="C0E81B56">
      <w:start w:val="1"/>
      <w:numFmt w:val="bullet"/>
      <w:lvlText w:val="•"/>
      <w:lvlJc w:val="left"/>
      <w:pPr>
        <w:ind w:left="1904" w:hanging="227"/>
      </w:pPr>
      <w:rPr>
        <w:rFonts w:hint="default"/>
      </w:rPr>
    </w:lvl>
    <w:lvl w:ilvl="6" w:tplc="F56E4056">
      <w:start w:val="1"/>
      <w:numFmt w:val="bullet"/>
      <w:lvlText w:val="•"/>
      <w:lvlJc w:val="left"/>
      <w:pPr>
        <w:ind w:left="2184" w:hanging="227"/>
      </w:pPr>
      <w:rPr>
        <w:rFonts w:hint="default"/>
      </w:rPr>
    </w:lvl>
    <w:lvl w:ilvl="7" w:tplc="8AA4482A">
      <w:start w:val="1"/>
      <w:numFmt w:val="bullet"/>
      <w:lvlText w:val="•"/>
      <w:lvlJc w:val="left"/>
      <w:pPr>
        <w:ind w:left="2463" w:hanging="227"/>
      </w:pPr>
      <w:rPr>
        <w:rFonts w:hint="default"/>
      </w:rPr>
    </w:lvl>
    <w:lvl w:ilvl="8" w:tplc="CFDCB0BE">
      <w:start w:val="1"/>
      <w:numFmt w:val="bullet"/>
      <w:lvlText w:val="•"/>
      <w:lvlJc w:val="left"/>
      <w:pPr>
        <w:ind w:left="2743" w:hanging="227"/>
      </w:pPr>
      <w:rPr>
        <w:rFonts w:hint="default"/>
      </w:rPr>
    </w:lvl>
  </w:abstractNum>
  <w:abstractNum w:abstractNumId="5" w15:restartNumberingAfterBreak="0">
    <w:nsid w:val="59C1126E"/>
    <w:multiLevelType w:val="hybridMultilevel"/>
    <w:tmpl w:val="8FC63B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F6319C8"/>
    <w:multiLevelType w:val="hybridMultilevel"/>
    <w:tmpl w:val="77988B44"/>
    <w:lvl w:ilvl="0" w:tplc="1A300322">
      <w:numFmt w:val="bullet"/>
      <w:lvlText w:val=""/>
      <w:lvlJc w:val="left"/>
      <w:pPr>
        <w:ind w:left="722" w:hanging="227"/>
      </w:pPr>
      <w:rPr>
        <w:rFonts w:ascii="Wingdings" w:eastAsia="Wingdings" w:hAnsi="Wingdings" w:cs="Wingdings" w:hint="default"/>
        <w:color w:val="060B7F"/>
        <w:w w:val="100"/>
        <w:sz w:val="18"/>
        <w:szCs w:val="18"/>
      </w:rPr>
    </w:lvl>
    <w:lvl w:ilvl="1" w:tplc="8C1474B2">
      <w:numFmt w:val="bullet"/>
      <w:lvlText w:val=""/>
      <w:lvlJc w:val="left"/>
      <w:pPr>
        <w:ind w:left="904" w:hanging="182"/>
      </w:pPr>
      <w:rPr>
        <w:rFonts w:ascii="Wingdings" w:eastAsia="Wingdings" w:hAnsi="Wingdings" w:cs="Wingdings" w:hint="default"/>
        <w:color w:val="556771"/>
        <w:w w:val="100"/>
        <w:sz w:val="18"/>
        <w:szCs w:val="18"/>
      </w:rPr>
    </w:lvl>
    <w:lvl w:ilvl="2" w:tplc="74A8F114">
      <w:numFmt w:val="bullet"/>
      <w:lvlText w:val="•"/>
      <w:lvlJc w:val="left"/>
      <w:pPr>
        <w:ind w:left="1185" w:hanging="182"/>
      </w:pPr>
    </w:lvl>
    <w:lvl w:ilvl="3" w:tplc="2C30943E">
      <w:numFmt w:val="bullet"/>
      <w:lvlText w:val="•"/>
      <w:lvlJc w:val="left"/>
      <w:pPr>
        <w:ind w:left="1471" w:hanging="182"/>
      </w:pPr>
    </w:lvl>
    <w:lvl w:ilvl="4" w:tplc="77544A28">
      <w:numFmt w:val="bullet"/>
      <w:lvlText w:val="•"/>
      <w:lvlJc w:val="left"/>
      <w:pPr>
        <w:ind w:left="1757" w:hanging="182"/>
      </w:pPr>
    </w:lvl>
    <w:lvl w:ilvl="5" w:tplc="78EECCE8">
      <w:numFmt w:val="bullet"/>
      <w:lvlText w:val="•"/>
      <w:lvlJc w:val="left"/>
      <w:pPr>
        <w:ind w:left="2043" w:hanging="182"/>
      </w:pPr>
    </w:lvl>
    <w:lvl w:ilvl="6" w:tplc="58ECDA20">
      <w:numFmt w:val="bullet"/>
      <w:lvlText w:val="•"/>
      <w:lvlJc w:val="left"/>
      <w:pPr>
        <w:ind w:left="2329" w:hanging="182"/>
      </w:pPr>
    </w:lvl>
    <w:lvl w:ilvl="7" w:tplc="7AA6CD8A">
      <w:numFmt w:val="bullet"/>
      <w:lvlText w:val="•"/>
      <w:lvlJc w:val="left"/>
      <w:pPr>
        <w:ind w:left="2615" w:hanging="182"/>
      </w:pPr>
    </w:lvl>
    <w:lvl w:ilvl="8" w:tplc="A094D75E">
      <w:numFmt w:val="bullet"/>
      <w:lvlText w:val="•"/>
      <w:lvlJc w:val="left"/>
      <w:pPr>
        <w:ind w:left="2900" w:hanging="182"/>
      </w:pPr>
    </w:lvl>
  </w:abstractNum>
  <w:abstractNum w:abstractNumId="7" w15:restartNumberingAfterBreak="0">
    <w:nsid w:val="64B67701"/>
    <w:multiLevelType w:val="hybridMultilevel"/>
    <w:tmpl w:val="527AA242"/>
    <w:lvl w:ilvl="0" w:tplc="3AC04B72">
      <w:numFmt w:val="bullet"/>
      <w:lvlText w:val=""/>
      <w:lvlJc w:val="left"/>
      <w:pPr>
        <w:ind w:left="1062" w:hanging="227"/>
      </w:pPr>
      <w:rPr>
        <w:rFonts w:ascii="Wingdings" w:eastAsia="Wingdings" w:hAnsi="Wingdings" w:cs="Wingdings" w:hint="default"/>
        <w:color w:val="060B7F"/>
        <w:w w:val="100"/>
        <w:sz w:val="18"/>
        <w:szCs w:val="18"/>
      </w:rPr>
    </w:lvl>
    <w:lvl w:ilvl="1" w:tplc="B0C4BF3E">
      <w:numFmt w:val="bullet"/>
      <w:lvlText w:val="•"/>
      <w:lvlJc w:val="left"/>
      <w:pPr>
        <w:ind w:left="1335" w:hanging="227"/>
      </w:pPr>
    </w:lvl>
    <w:lvl w:ilvl="2" w:tplc="408E0D8E">
      <w:numFmt w:val="bullet"/>
      <w:lvlText w:val="•"/>
      <w:lvlJc w:val="left"/>
      <w:pPr>
        <w:ind w:left="1610" w:hanging="227"/>
      </w:pPr>
    </w:lvl>
    <w:lvl w:ilvl="3" w:tplc="48182678">
      <w:numFmt w:val="bullet"/>
      <w:lvlText w:val="•"/>
      <w:lvlJc w:val="left"/>
      <w:pPr>
        <w:ind w:left="1885" w:hanging="227"/>
      </w:pPr>
    </w:lvl>
    <w:lvl w:ilvl="4" w:tplc="449CA824">
      <w:numFmt w:val="bullet"/>
      <w:lvlText w:val="•"/>
      <w:lvlJc w:val="left"/>
      <w:pPr>
        <w:ind w:left="2160" w:hanging="227"/>
      </w:pPr>
    </w:lvl>
    <w:lvl w:ilvl="5" w:tplc="FA1456FE">
      <w:numFmt w:val="bullet"/>
      <w:lvlText w:val="•"/>
      <w:lvlJc w:val="left"/>
      <w:pPr>
        <w:ind w:left="2436" w:hanging="227"/>
      </w:pPr>
    </w:lvl>
    <w:lvl w:ilvl="6" w:tplc="CD4EB5FC">
      <w:numFmt w:val="bullet"/>
      <w:lvlText w:val="•"/>
      <w:lvlJc w:val="left"/>
      <w:pPr>
        <w:ind w:left="2711" w:hanging="227"/>
      </w:pPr>
    </w:lvl>
    <w:lvl w:ilvl="7" w:tplc="2DB0416A">
      <w:numFmt w:val="bullet"/>
      <w:lvlText w:val="•"/>
      <w:lvlJc w:val="left"/>
      <w:pPr>
        <w:ind w:left="2986" w:hanging="227"/>
      </w:pPr>
    </w:lvl>
    <w:lvl w:ilvl="8" w:tplc="13DEAC60">
      <w:numFmt w:val="bullet"/>
      <w:lvlText w:val="•"/>
      <w:lvlJc w:val="left"/>
      <w:pPr>
        <w:ind w:left="3261" w:hanging="227"/>
      </w:pPr>
    </w:lvl>
  </w:abstractNum>
  <w:abstractNum w:abstractNumId="8" w15:restartNumberingAfterBreak="0">
    <w:nsid w:val="70B93B7B"/>
    <w:multiLevelType w:val="hybridMultilevel"/>
    <w:tmpl w:val="23A6DDCE"/>
    <w:lvl w:ilvl="0" w:tplc="B8262708">
      <w:start w:val="1"/>
      <w:numFmt w:val="bullet"/>
      <w:lvlText w:val=""/>
      <w:lvlJc w:val="left"/>
      <w:pPr>
        <w:ind w:left="722" w:hanging="227"/>
      </w:pPr>
      <w:rPr>
        <w:rFonts w:ascii="Wingdings" w:eastAsia="Wingdings" w:hAnsi="Wingdings" w:hint="default"/>
        <w:color w:val="060B7F"/>
        <w:sz w:val="18"/>
        <w:szCs w:val="18"/>
      </w:rPr>
    </w:lvl>
    <w:lvl w:ilvl="1" w:tplc="DED4F102">
      <w:start w:val="1"/>
      <w:numFmt w:val="bullet"/>
      <w:lvlText w:val="•"/>
      <w:lvlJc w:val="left"/>
      <w:pPr>
        <w:ind w:left="997" w:hanging="227"/>
      </w:pPr>
      <w:rPr>
        <w:rFonts w:hint="default"/>
      </w:rPr>
    </w:lvl>
    <w:lvl w:ilvl="2" w:tplc="9C7A976E">
      <w:start w:val="1"/>
      <w:numFmt w:val="bullet"/>
      <w:lvlText w:val="•"/>
      <w:lvlJc w:val="left"/>
      <w:pPr>
        <w:ind w:left="1272" w:hanging="227"/>
      </w:pPr>
      <w:rPr>
        <w:rFonts w:hint="default"/>
      </w:rPr>
    </w:lvl>
    <w:lvl w:ilvl="3" w:tplc="054C7208">
      <w:start w:val="1"/>
      <w:numFmt w:val="bullet"/>
      <w:lvlText w:val="•"/>
      <w:lvlJc w:val="left"/>
      <w:pPr>
        <w:ind w:left="1547" w:hanging="227"/>
      </w:pPr>
      <w:rPr>
        <w:rFonts w:hint="default"/>
      </w:rPr>
    </w:lvl>
    <w:lvl w:ilvl="4" w:tplc="2020BE24">
      <w:start w:val="1"/>
      <w:numFmt w:val="bullet"/>
      <w:lvlText w:val="•"/>
      <w:lvlJc w:val="left"/>
      <w:pPr>
        <w:ind w:left="1822" w:hanging="227"/>
      </w:pPr>
      <w:rPr>
        <w:rFonts w:hint="default"/>
      </w:rPr>
    </w:lvl>
    <w:lvl w:ilvl="5" w:tplc="F8881560">
      <w:start w:val="1"/>
      <w:numFmt w:val="bullet"/>
      <w:lvlText w:val="•"/>
      <w:lvlJc w:val="left"/>
      <w:pPr>
        <w:ind w:left="2097" w:hanging="227"/>
      </w:pPr>
      <w:rPr>
        <w:rFonts w:hint="default"/>
      </w:rPr>
    </w:lvl>
    <w:lvl w:ilvl="6" w:tplc="4AAC2082">
      <w:start w:val="1"/>
      <w:numFmt w:val="bullet"/>
      <w:lvlText w:val="•"/>
      <w:lvlJc w:val="left"/>
      <w:pPr>
        <w:ind w:left="2372" w:hanging="227"/>
      </w:pPr>
      <w:rPr>
        <w:rFonts w:hint="default"/>
      </w:rPr>
    </w:lvl>
    <w:lvl w:ilvl="7" w:tplc="85547380">
      <w:start w:val="1"/>
      <w:numFmt w:val="bullet"/>
      <w:lvlText w:val="•"/>
      <w:lvlJc w:val="left"/>
      <w:pPr>
        <w:ind w:left="2647" w:hanging="227"/>
      </w:pPr>
      <w:rPr>
        <w:rFonts w:hint="default"/>
      </w:rPr>
    </w:lvl>
    <w:lvl w:ilvl="8" w:tplc="881E6CCA">
      <w:start w:val="1"/>
      <w:numFmt w:val="bullet"/>
      <w:lvlText w:val="•"/>
      <w:lvlJc w:val="left"/>
      <w:pPr>
        <w:ind w:left="2922" w:hanging="227"/>
      </w:pPr>
      <w:rPr>
        <w:rFonts w:hint="default"/>
      </w:rPr>
    </w:lvl>
  </w:abstractNum>
  <w:num w:numId="1">
    <w:abstractNumId w:val="0"/>
  </w:num>
  <w:num w:numId="2">
    <w:abstractNumId w:val="8"/>
  </w:num>
  <w:num w:numId="3">
    <w:abstractNumId w:val="4"/>
  </w:num>
  <w:num w:numId="4">
    <w:abstractNumId w:val="3"/>
  </w:num>
  <w:num w:numId="5">
    <w:abstractNumId w:val="5"/>
  </w:num>
  <w:num w:numId="6">
    <w:abstractNumId w:val="7"/>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79E"/>
    <w:rsid w:val="000135D5"/>
    <w:rsid w:val="00026373"/>
    <w:rsid w:val="00057B4B"/>
    <w:rsid w:val="000971DC"/>
    <w:rsid w:val="00112881"/>
    <w:rsid w:val="001470FF"/>
    <w:rsid w:val="00160C2F"/>
    <w:rsid w:val="00160D9A"/>
    <w:rsid w:val="00196DB3"/>
    <w:rsid w:val="0032049E"/>
    <w:rsid w:val="003A2BD3"/>
    <w:rsid w:val="003B4A02"/>
    <w:rsid w:val="003D779E"/>
    <w:rsid w:val="003E316E"/>
    <w:rsid w:val="0044798B"/>
    <w:rsid w:val="00480C44"/>
    <w:rsid w:val="004B28D5"/>
    <w:rsid w:val="00537E32"/>
    <w:rsid w:val="005B54B8"/>
    <w:rsid w:val="006133A9"/>
    <w:rsid w:val="00624D82"/>
    <w:rsid w:val="006A135D"/>
    <w:rsid w:val="00755528"/>
    <w:rsid w:val="007D059F"/>
    <w:rsid w:val="008A72AB"/>
    <w:rsid w:val="0091350E"/>
    <w:rsid w:val="00971A87"/>
    <w:rsid w:val="00A06353"/>
    <w:rsid w:val="00AD6607"/>
    <w:rsid w:val="00CA3EBD"/>
    <w:rsid w:val="00CB5FC1"/>
    <w:rsid w:val="00D5202A"/>
    <w:rsid w:val="00D87C0D"/>
    <w:rsid w:val="00E15B1E"/>
    <w:rsid w:val="00FC2ECA"/>
    <w:rsid w:val="00FE04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404E6-161C-4B84-89A0-327B9B3D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1"/>
    <w:qFormat/>
    <w:rsid w:val="005B54B8"/>
    <w:pPr>
      <w:widowControl w:val="0"/>
      <w:autoSpaceDE w:val="0"/>
      <w:autoSpaceDN w:val="0"/>
      <w:spacing w:after="0" w:line="240" w:lineRule="auto"/>
      <w:ind w:left="836"/>
      <w:outlineLvl w:val="0"/>
    </w:pPr>
    <w:rPr>
      <w:rFonts w:ascii="Cambria" w:eastAsia="Cambria" w:hAnsi="Cambria" w:cs="Cambria"/>
      <w:b/>
      <w:bCs/>
      <w:sz w:val="18"/>
      <w:szCs w:val="18"/>
      <w:lang w:val="en-US"/>
    </w:rPr>
  </w:style>
  <w:style w:type="paragraph" w:styleId="Overskrift2">
    <w:name w:val="heading 2"/>
    <w:basedOn w:val="Normal"/>
    <w:next w:val="Normal"/>
    <w:link w:val="Overskrift2Tegn"/>
    <w:uiPriority w:val="9"/>
    <w:semiHidden/>
    <w:unhideWhenUsed/>
    <w:qFormat/>
    <w:rsid w:val="00AD66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B54B8"/>
    <w:rPr>
      <w:rFonts w:ascii="Cambria" w:eastAsia="Cambria" w:hAnsi="Cambria" w:cs="Cambria"/>
      <w:b/>
      <w:bCs/>
      <w:sz w:val="18"/>
      <w:szCs w:val="18"/>
      <w:lang w:val="en-US"/>
    </w:rPr>
  </w:style>
  <w:style w:type="paragraph" w:styleId="Brdtekst">
    <w:name w:val="Body Text"/>
    <w:basedOn w:val="Normal"/>
    <w:link w:val="BrdtekstTegn"/>
    <w:uiPriority w:val="1"/>
    <w:qFormat/>
    <w:rsid w:val="005B54B8"/>
    <w:pPr>
      <w:widowControl w:val="0"/>
      <w:autoSpaceDE w:val="0"/>
      <w:autoSpaceDN w:val="0"/>
      <w:spacing w:after="0" w:line="240" w:lineRule="auto"/>
    </w:pPr>
    <w:rPr>
      <w:rFonts w:ascii="FoundryFormSans-Book" w:eastAsia="FoundryFormSans-Book" w:hAnsi="FoundryFormSans-Book" w:cs="FoundryFormSans-Book"/>
      <w:sz w:val="18"/>
      <w:szCs w:val="18"/>
      <w:lang w:val="en-US"/>
    </w:rPr>
  </w:style>
  <w:style w:type="character" w:customStyle="1" w:styleId="BrdtekstTegn">
    <w:name w:val="Brødtekst Tegn"/>
    <w:basedOn w:val="Standardskrifttypeiafsnit"/>
    <w:link w:val="Brdtekst"/>
    <w:uiPriority w:val="1"/>
    <w:rsid w:val="005B54B8"/>
    <w:rPr>
      <w:rFonts w:ascii="FoundryFormSans-Book" w:eastAsia="FoundryFormSans-Book" w:hAnsi="FoundryFormSans-Book" w:cs="FoundryFormSans-Book"/>
      <w:sz w:val="18"/>
      <w:szCs w:val="18"/>
      <w:lang w:val="en-US"/>
    </w:rPr>
  </w:style>
  <w:style w:type="character" w:styleId="Kommentarhenvisning">
    <w:name w:val="annotation reference"/>
    <w:basedOn w:val="Standardskrifttypeiafsnit"/>
    <w:uiPriority w:val="99"/>
    <w:semiHidden/>
    <w:unhideWhenUsed/>
    <w:rsid w:val="005B54B8"/>
    <w:rPr>
      <w:sz w:val="16"/>
      <w:szCs w:val="16"/>
    </w:rPr>
  </w:style>
  <w:style w:type="paragraph" w:styleId="Kommentartekst">
    <w:name w:val="annotation text"/>
    <w:basedOn w:val="Normal"/>
    <w:link w:val="KommentartekstTegn"/>
    <w:uiPriority w:val="99"/>
    <w:semiHidden/>
    <w:unhideWhenUsed/>
    <w:rsid w:val="005B54B8"/>
    <w:pPr>
      <w:widowControl w:val="0"/>
      <w:autoSpaceDE w:val="0"/>
      <w:autoSpaceDN w:val="0"/>
      <w:spacing w:after="0" w:line="240" w:lineRule="auto"/>
    </w:pPr>
    <w:rPr>
      <w:rFonts w:ascii="FoundryFormSans-Book" w:eastAsia="FoundryFormSans-Book" w:hAnsi="FoundryFormSans-Book" w:cs="FoundryFormSans-Book"/>
      <w:sz w:val="20"/>
      <w:szCs w:val="20"/>
      <w:lang w:val="en-US"/>
    </w:rPr>
  </w:style>
  <w:style w:type="character" w:customStyle="1" w:styleId="KommentartekstTegn">
    <w:name w:val="Kommentartekst Tegn"/>
    <w:basedOn w:val="Standardskrifttypeiafsnit"/>
    <w:link w:val="Kommentartekst"/>
    <w:uiPriority w:val="99"/>
    <w:semiHidden/>
    <w:rsid w:val="005B54B8"/>
    <w:rPr>
      <w:rFonts w:ascii="FoundryFormSans-Book" w:eastAsia="FoundryFormSans-Book" w:hAnsi="FoundryFormSans-Book" w:cs="FoundryFormSans-Book"/>
      <w:sz w:val="20"/>
      <w:szCs w:val="20"/>
      <w:lang w:val="en-US"/>
    </w:rPr>
  </w:style>
  <w:style w:type="paragraph" w:styleId="Markeringsbobletekst">
    <w:name w:val="Balloon Text"/>
    <w:basedOn w:val="Normal"/>
    <w:link w:val="MarkeringsbobletekstTegn"/>
    <w:uiPriority w:val="99"/>
    <w:semiHidden/>
    <w:unhideWhenUsed/>
    <w:rsid w:val="005B54B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B54B8"/>
    <w:rPr>
      <w:rFonts w:ascii="Segoe UI" w:hAnsi="Segoe UI" w:cs="Segoe UI"/>
      <w:sz w:val="18"/>
      <w:szCs w:val="18"/>
    </w:rPr>
  </w:style>
  <w:style w:type="character" w:styleId="Hyperlink">
    <w:name w:val="Hyperlink"/>
    <w:basedOn w:val="Standardskrifttypeiafsnit"/>
    <w:uiPriority w:val="99"/>
    <w:unhideWhenUsed/>
    <w:rsid w:val="006A135D"/>
    <w:rPr>
      <w:color w:val="0000FF" w:themeColor="hyperlink"/>
      <w:u w:val="single"/>
    </w:rPr>
  </w:style>
  <w:style w:type="paragraph" w:styleId="Listeafsnit">
    <w:name w:val="List Paragraph"/>
    <w:basedOn w:val="Normal"/>
    <w:uiPriority w:val="1"/>
    <w:qFormat/>
    <w:rsid w:val="006133A9"/>
    <w:pPr>
      <w:widowControl w:val="0"/>
      <w:autoSpaceDE w:val="0"/>
      <w:autoSpaceDN w:val="0"/>
      <w:spacing w:before="6" w:after="0" w:line="240" w:lineRule="auto"/>
      <w:ind w:left="722" w:hanging="226"/>
    </w:pPr>
    <w:rPr>
      <w:rFonts w:ascii="FoundryFormSans-Book" w:eastAsia="FoundryFormSans-Book" w:hAnsi="FoundryFormSans-Book" w:cs="FoundryFormSans-Book"/>
      <w:lang w:val="en-US"/>
    </w:rPr>
  </w:style>
  <w:style w:type="character" w:customStyle="1" w:styleId="Overskrift2Tegn">
    <w:name w:val="Overskrift 2 Tegn"/>
    <w:basedOn w:val="Standardskrifttypeiafsnit"/>
    <w:link w:val="Overskrift2"/>
    <w:uiPriority w:val="9"/>
    <w:semiHidden/>
    <w:rsid w:val="00AD660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846503">
      <w:bodyDiv w:val="1"/>
      <w:marLeft w:val="0"/>
      <w:marRight w:val="0"/>
      <w:marTop w:val="0"/>
      <w:marBottom w:val="0"/>
      <w:divBdr>
        <w:top w:val="none" w:sz="0" w:space="0" w:color="auto"/>
        <w:left w:val="none" w:sz="0" w:space="0" w:color="auto"/>
        <w:bottom w:val="none" w:sz="0" w:space="0" w:color="auto"/>
        <w:right w:val="none" w:sz="0" w:space="0" w:color="auto"/>
      </w:divBdr>
    </w:div>
    <w:div w:id="626621775">
      <w:bodyDiv w:val="1"/>
      <w:marLeft w:val="0"/>
      <w:marRight w:val="0"/>
      <w:marTop w:val="0"/>
      <w:marBottom w:val="0"/>
      <w:divBdr>
        <w:top w:val="none" w:sz="0" w:space="0" w:color="auto"/>
        <w:left w:val="none" w:sz="0" w:space="0" w:color="auto"/>
        <w:bottom w:val="none" w:sz="0" w:space="0" w:color="auto"/>
        <w:right w:val="none" w:sz="0" w:space="0" w:color="auto"/>
      </w:divBdr>
    </w:div>
    <w:div w:id="967474804">
      <w:bodyDiv w:val="1"/>
      <w:marLeft w:val="0"/>
      <w:marRight w:val="0"/>
      <w:marTop w:val="0"/>
      <w:marBottom w:val="0"/>
      <w:divBdr>
        <w:top w:val="none" w:sz="0" w:space="0" w:color="auto"/>
        <w:left w:val="none" w:sz="0" w:space="0" w:color="auto"/>
        <w:bottom w:val="none" w:sz="0" w:space="0" w:color="auto"/>
        <w:right w:val="none" w:sz="0" w:space="0" w:color="auto"/>
      </w:divBdr>
    </w:div>
    <w:div w:id="1251888048">
      <w:bodyDiv w:val="1"/>
      <w:marLeft w:val="0"/>
      <w:marRight w:val="0"/>
      <w:marTop w:val="0"/>
      <w:marBottom w:val="0"/>
      <w:divBdr>
        <w:top w:val="none" w:sz="0" w:space="0" w:color="auto"/>
        <w:left w:val="none" w:sz="0" w:space="0" w:color="auto"/>
        <w:bottom w:val="none" w:sz="0" w:space="0" w:color="auto"/>
        <w:right w:val="none" w:sz="0" w:space="0" w:color="auto"/>
      </w:divBdr>
    </w:div>
    <w:div w:id="127848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3FC36-5E18-4B26-A00F-61B1CBEAC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A982A974</Template>
  <TotalTime>35</TotalTime>
  <Pages>2</Pages>
  <Words>848</Words>
  <Characters>5176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Holm</dc:creator>
  <cp:keywords/>
  <dc:description/>
  <cp:lastModifiedBy>Claus Holm</cp:lastModifiedBy>
  <cp:revision>5</cp:revision>
  <dcterms:created xsi:type="dcterms:W3CDTF">2017-11-29T18:50:00Z</dcterms:created>
  <dcterms:modified xsi:type="dcterms:W3CDTF">2017-12-16T12:00:00Z</dcterms:modified>
</cp:coreProperties>
</file>